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3B3E6">
      <w:pPr>
        <w:spacing w:line="700" w:lineRule="exact"/>
        <w:jc w:val="center"/>
        <w:rPr>
          <w:rFonts w:hint="eastAsia" w:ascii="黑体" w:hAnsi="黑体" w:eastAsia="黑体"/>
          <w:sz w:val="44"/>
          <w:szCs w:val="44"/>
        </w:rPr>
      </w:pPr>
    </w:p>
    <w:p w14:paraId="451110DE">
      <w:pPr>
        <w:spacing w:line="700" w:lineRule="exact"/>
        <w:jc w:val="center"/>
        <w:rPr>
          <w:rFonts w:ascii="黑体" w:hAnsi="黑体" w:eastAsia="黑体"/>
          <w:sz w:val="72"/>
          <w:szCs w:val="96"/>
        </w:rPr>
      </w:pPr>
      <w:r>
        <w:rPr>
          <w:rFonts w:hint="eastAsia" w:ascii="黑体" w:hAnsi="黑体" w:eastAsia="黑体"/>
          <w:sz w:val="44"/>
          <w:szCs w:val="44"/>
        </w:rPr>
        <w:t>广安市人民医院</w:t>
      </w:r>
    </w:p>
    <w:p w14:paraId="2375F455">
      <w:pPr>
        <w:jc w:val="center"/>
        <w:rPr>
          <w:rFonts w:hint="eastAsia" w:ascii="黑体" w:hAnsi="黑体" w:eastAsia="黑体"/>
          <w:sz w:val="56"/>
          <w:szCs w:val="72"/>
        </w:rPr>
      </w:pPr>
    </w:p>
    <w:p w14:paraId="26E243E8">
      <w:pPr>
        <w:jc w:val="center"/>
        <w:rPr>
          <w:rFonts w:hint="default" w:ascii="黑体" w:hAnsi="黑体" w:eastAsia="黑体"/>
          <w:sz w:val="52"/>
          <w:szCs w:val="56"/>
          <w:lang w:val="en-US" w:eastAsia="zh-CN"/>
        </w:rPr>
      </w:pPr>
      <w:r>
        <w:rPr>
          <w:rFonts w:hint="eastAsia" w:ascii="黑体" w:hAnsi="黑体" w:eastAsia="黑体"/>
          <w:sz w:val="52"/>
          <w:szCs w:val="56"/>
        </w:rPr>
        <w:t>广安市人民医院</w:t>
      </w:r>
      <w:r>
        <w:rPr>
          <w:rFonts w:hint="eastAsia" w:ascii="黑体" w:hAnsi="黑体" w:eastAsia="黑体"/>
          <w:sz w:val="52"/>
          <w:szCs w:val="56"/>
          <w:lang w:val="en-US" w:eastAsia="zh-CN"/>
        </w:rPr>
        <w:t>肿瘤科日间化疗中心</w:t>
      </w:r>
    </w:p>
    <w:p w14:paraId="2D0FFE25">
      <w:pPr>
        <w:jc w:val="center"/>
        <w:rPr>
          <w:rFonts w:ascii="黑体" w:hAnsi="黑体" w:eastAsia="黑体"/>
          <w:sz w:val="52"/>
          <w:szCs w:val="56"/>
        </w:rPr>
      </w:pPr>
      <w:r>
        <w:rPr>
          <w:rFonts w:hint="eastAsia" w:ascii="黑体" w:hAnsi="黑体" w:eastAsia="黑体"/>
          <w:sz w:val="52"/>
          <w:szCs w:val="56"/>
        </w:rPr>
        <w:t>改造项目合同</w:t>
      </w:r>
    </w:p>
    <w:p w14:paraId="1C512571">
      <w:pPr>
        <w:rPr>
          <w:rFonts w:ascii="黑体" w:hAnsi="黑体" w:eastAsia="黑体"/>
          <w:sz w:val="36"/>
          <w:szCs w:val="40"/>
        </w:rPr>
      </w:pPr>
    </w:p>
    <w:p w14:paraId="21D55B03">
      <w:pPr>
        <w:pStyle w:val="6"/>
      </w:pPr>
    </w:p>
    <w:p w14:paraId="4608ACDF">
      <w:pPr>
        <w:pStyle w:val="6"/>
      </w:pPr>
    </w:p>
    <w:p w14:paraId="603037DD">
      <w:pPr>
        <w:pStyle w:val="6"/>
      </w:pPr>
    </w:p>
    <w:p w14:paraId="400D5888">
      <w:pPr>
        <w:pStyle w:val="6"/>
      </w:pPr>
    </w:p>
    <w:p w14:paraId="2AE2B276">
      <w:pPr>
        <w:spacing w:line="480" w:lineRule="auto"/>
        <w:ind w:left="2882" w:leftChars="492" w:hanging="1800" w:hangingChars="500"/>
        <w:rPr>
          <w:rFonts w:hint="eastAsia" w:ascii="黑体" w:hAnsi="黑体" w:eastAsia="黑体"/>
          <w:sz w:val="36"/>
          <w:szCs w:val="40"/>
          <w:lang w:val="en-US" w:eastAsia="zh-CN"/>
        </w:rPr>
      </w:pPr>
      <w:r>
        <w:rPr>
          <w:rFonts w:hint="eastAsia" w:ascii="黑体" w:hAnsi="黑体" w:eastAsia="黑体"/>
          <w:sz w:val="36"/>
          <w:szCs w:val="40"/>
        </w:rPr>
        <w:t>项目名称：广安市人民医院</w:t>
      </w:r>
      <w:r>
        <w:rPr>
          <w:rFonts w:hint="eastAsia" w:ascii="黑体" w:hAnsi="黑体" w:eastAsia="黑体"/>
          <w:sz w:val="36"/>
          <w:szCs w:val="40"/>
          <w:lang w:eastAsia="zh-CN"/>
        </w:rPr>
        <w:t>肿瘤科日间化疗中心</w:t>
      </w:r>
      <w:r>
        <w:rPr>
          <w:rFonts w:hint="eastAsia" w:ascii="黑体" w:hAnsi="黑体" w:eastAsia="黑体"/>
          <w:sz w:val="36"/>
          <w:szCs w:val="40"/>
        </w:rPr>
        <w:t>改造项目</w:t>
      </w:r>
    </w:p>
    <w:p w14:paraId="16333DE1">
      <w:pPr>
        <w:spacing w:line="480" w:lineRule="auto"/>
        <w:ind w:left="2882" w:leftChars="492" w:hanging="1800" w:hangingChars="500"/>
        <w:rPr>
          <w:rFonts w:ascii="黑体" w:hAnsi="黑体" w:eastAsia="黑体"/>
          <w:sz w:val="36"/>
          <w:szCs w:val="40"/>
        </w:rPr>
      </w:pPr>
      <w:r>
        <w:rPr>
          <w:rFonts w:hint="eastAsia" w:ascii="黑体" w:hAnsi="黑体" w:eastAsia="黑体"/>
          <w:sz w:val="36"/>
          <w:szCs w:val="40"/>
        </w:rPr>
        <w:t>发 包 方：广安市人民医院/四川大学华西医</w:t>
      </w:r>
    </w:p>
    <w:p w14:paraId="190B602F">
      <w:pPr>
        <w:spacing w:line="480" w:lineRule="auto"/>
        <w:ind w:firstLine="2880" w:firstLineChars="800"/>
        <w:rPr>
          <w:rFonts w:ascii="黑体" w:hAnsi="黑体" w:eastAsia="黑体"/>
          <w:sz w:val="36"/>
          <w:szCs w:val="40"/>
        </w:rPr>
      </w:pPr>
      <w:r>
        <w:rPr>
          <w:rFonts w:hint="eastAsia" w:ascii="黑体" w:hAnsi="黑体" w:eastAsia="黑体"/>
          <w:sz w:val="36"/>
          <w:szCs w:val="40"/>
        </w:rPr>
        <w:t>院广安医院</w:t>
      </w:r>
    </w:p>
    <w:p w14:paraId="2357485C">
      <w:pPr>
        <w:spacing w:line="480" w:lineRule="auto"/>
        <w:ind w:firstLine="1080" w:firstLineChars="300"/>
        <w:rPr>
          <w:rFonts w:hint="eastAsia" w:ascii="黑体" w:hAnsi="黑体" w:eastAsia="黑体"/>
          <w:sz w:val="36"/>
          <w:szCs w:val="40"/>
        </w:rPr>
      </w:pPr>
      <w:r>
        <w:rPr>
          <w:rFonts w:hint="eastAsia" w:ascii="黑体" w:hAnsi="黑体" w:eastAsia="黑体"/>
          <w:sz w:val="36"/>
          <w:szCs w:val="40"/>
        </w:rPr>
        <w:t>承 包 方：</w:t>
      </w:r>
    </w:p>
    <w:p w14:paraId="27704D0C">
      <w:pPr>
        <w:spacing w:line="480" w:lineRule="auto"/>
        <w:ind w:firstLine="1080" w:firstLineChars="300"/>
        <w:sectPr>
          <w:pgSz w:w="11906" w:h="16838"/>
          <w:pgMar w:top="1440" w:right="1587" w:bottom="1440" w:left="1587" w:header="708" w:footer="708" w:gutter="0"/>
          <w:cols w:space="708" w:num="1"/>
          <w:docGrid w:linePitch="360" w:charSpace="0"/>
        </w:sectPr>
      </w:pPr>
      <w:r>
        <w:rPr>
          <w:rFonts w:hint="eastAsia" w:ascii="黑体" w:hAnsi="黑体" w:eastAsia="黑体"/>
          <w:sz w:val="36"/>
          <w:szCs w:val="40"/>
        </w:rPr>
        <w:t xml:space="preserve">签订日期： </w:t>
      </w:r>
      <w:r>
        <w:rPr>
          <w:rFonts w:ascii="黑体" w:hAnsi="黑体" w:eastAsia="黑体"/>
          <w:sz w:val="36"/>
          <w:szCs w:val="40"/>
        </w:rPr>
        <w:t xml:space="preserve">  </w:t>
      </w:r>
      <w:r>
        <w:rPr>
          <w:rFonts w:hint="eastAsia" w:ascii="黑体" w:hAnsi="黑体" w:eastAsia="黑体"/>
          <w:sz w:val="36"/>
          <w:szCs w:val="40"/>
          <w:lang w:val="en-US" w:eastAsia="zh-CN"/>
        </w:rPr>
        <w:t xml:space="preserve">    </w:t>
      </w:r>
      <w:r>
        <w:rPr>
          <w:rFonts w:ascii="黑体" w:hAnsi="黑体" w:eastAsia="黑体"/>
          <w:sz w:val="36"/>
          <w:szCs w:val="40"/>
        </w:rPr>
        <w:t xml:space="preserve"> </w:t>
      </w:r>
      <w:r>
        <w:rPr>
          <w:rFonts w:hint="eastAsia" w:ascii="黑体" w:hAnsi="黑体" w:eastAsia="黑体"/>
          <w:sz w:val="36"/>
          <w:szCs w:val="40"/>
        </w:rPr>
        <w:t xml:space="preserve">年 </w:t>
      </w:r>
      <w:r>
        <w:rPr>
          <w:rFonts w:ascii="黑体" w:hAnsi="黑体" w:eastAsia="黑体"/>
          <w:sz w:val="36"/>
          <w:szCs w:val="40"/>
        </w:rPr>
        <w:t xml:space="preserve">  </w:t>
      </w:r>
      <w:r>
        <w:rPr>
          <w:rFonts w:hint="eastAsia" w:ascii="黑体" w:hAnsi="黑体" w:eastAsia="黑体"/>
          <w:sz w:val="36"/>
          <w:szCs w:val="40"/>
        </w:rPr>
        <w:t xml:space="preserve">月 </w:t>
      </w:r>
      <w:r>
        <w:rPr>
          <w:rFonts w:ascii="黑体" w:hAnsi="黑体" w:eastAsia="黑体"/>
          <w:sz w:val="36"/>
          <w:szCs w:val="40"/>
        </w:rPr>
        <w:t xml:space="preserve">  </w:t>
      </w:r>
      <w:r>
        <w:rPr>
          <w:rFonts w:hint="eastAsia" w:ascii="黑体" w:hAnsi="黑体" w:eastAsia="黑体"/>
          <w:sz w:val="36"/>
          <w:szCs w:val="40"/>
        </w:rPr>
        <w:t>日</w:t>
      </w:r>
    </w:p>
    <w:p w14:paraId="09E8F8BD">
      <w:pPr>
        <w:spacing w:line="480" w:lineRule="auto"/>
        <w:rPr>
          <w:rFonts w:asciiTheme="minorEastAsia" w:hAnsiTheme="minorEastAsia" w:eastAsiaTheme="minorEastAsia"/>
          <w:b/>
          <w:sz w:val="24"/>
          <w:szCs w:val="24"/>
        </w:rPr>
      </w:pPr>
      <w:r>
        <w:rPr>
          <w:rFonts w:hint="eastAsia" w:ascii="宋体" w:hAnsi="宋体" w:eastAsia="宋体" w:cs="宋体"/>
          <w:b/>
          <w:sz w:val="24"/>
          <w:szCs w:val="24"/>
        </w:rPr>
        <w:t>发包方（甲方）：广安市人民医院</w:t>
      </w:r>
      <w:r>
        <w:rPr>
          <w:rFonts w:hint="eastAsia" w:asciiTheme="minorEastAsia" w:hAnsiTheme="minorEastAsia" w:eastAsiaTheme="minorEastAsia"/>
          <w:b/>
          <w:sz w:val="24"/>
          <w:szCs w:val="24"/>
        </w:rPr>
        <w:t>/四川大学华西医院广安医院</w:t>
      </w:r>
    </w:p>
    <w:p w14:paraId="0E6C6926">
      <w:pPr>
        <w:spacing w:line="480" w:lineRule="auto"/>
        <w:rPr>
          <w:rFonts w:asciiTheme="minorEastAsia" w:hAnsiTheme="minorEastAsia" w:eastAsiaTheme="minorEastAsia"/>
          <w:b/>
          <w:sz w:val="24"/>
          <w:szCs w:val="24"/>
        </w:rPr>
      </w:pPr>
      <w:r>
        <w:rPr>
          <w:rFonts w:hint="eastAsia" w:ascii="宋体" w:hAnsi="宋体" w:eastAsia="宋体" w:cs="宋体"/>
          <w:b/>
          <w:sz w:val="24"/>
          <w:szCs w:val="24"/>
        </w:rPr>
        <w:t>承包方（乙方）：</w:t>
      </w:r>
    </w:p>
    <w:p w14:paraId="54C7CA7C">
      <w:pPr>
        <w:pStyle w:val="8"/>
      </w:pPr>
      <w:r>
        <w:rPr>
          <w:rFonts w:hint="eastAsia"/>
        </w:rPr>
        <w:t xml:space="preserve">根据《中华人民共和国民法典》及其他相关法律、行政法规，为明确甲、乙双方在施工事宜中的权利和义务，确保工程任务全面完成，在自愿、平等、互利、诚实守信的原则下，甲、乙双方经友好协商一致，自愿达成以下合同条款，供双方共同遵守。 </w:t>
      </w:r>
    </w:p>
    <w:p w14:paraId="5A3C5B10">
      <w:pPr>
        <w:pStyle w:val="8"/>
        <w:ind w:firstLine="0" w:firstLineChars="0"/>
      </w:pPr>
      <w:r>
        <w:rPr>
          <w:rFonts w:hint="eastAsia" w:cs="宋体"/>
          <w:szCs w:val="24"/>
        </w:rPr>
        <w:t>第一条  项目概况</w:t>
      </w:r>
    </w:p>
    <w:p w14:paraId="3F7A7884">
      <w:pPr>
        <w:pStyle w:val="8"/>
        <w:ind w:left="2160" w:leftChars="218" w:hanging="1680" w:hangingChars="700"/>
      </w:pPr>
      <w:r>
        <w:rPr>
          <w:rStyle w:val="15"/>
          <w:rFonts w:ascii="Times New Roman" w:hAnsi="Times New Roman"/>
        </w:rPr>
        <w:t xml:space="preserve">1.1 </w:t>
      </w:r>
      <w:r>
        <w:rPr>
          <w:rStyle w:val="15"/>
          <w:rFonts w:hint="eastAsia"/>
        </w:rPr>
        <w:t xml:space="preserve"> </w:t>
      </w:r>
      <w:r>
        <w:rPr>
          <w:rFonts w:hint="eastAsia"/>
        </w:rPr>
        <w:t>工程名称：广安市人民医院</w:t>
      </w:r>
      <w:r>
        <w:rPr>
          <w:rFonts w:hint="eastAsia"/>
          <w:lang w:eastAsia="zh-CN"/>
        </w:rPr>
        <w:t>肿瘤科日间化疗中心</w:t>
      </w:r>
      <w:r>
        <w:rPr>
          <w:rFonts w:hint="eastAsia"/>
        </w:rPr>
        <w:t xml:space="preserve">改造项目  </w:t>
      </w:r>
      <w:r>
        <w:rPr>
          <w:rFonts w:hint="eastAsia"/>
          <w:i/>
          <w:iCs/>
          <w:color w:val="BFBFBF" w:themeColor="background1" w:themeShade="BF"/>
        </w:rPr>
        <w:t xml:space="preserve">   </w:t>
      </w:r>
      <w:r>
        <w:rPr>
          <w:rFonts w:hint="eastAsia"/>
        </w:rPr>
        <w:t xml:space="preserve">                                                                         </w:t>
      </w:r>
    </w:p>
    <w:p w14:paraId="3DDB7464">
      <w:pPr>
        <w:pStyle w:val="8"/>
        <w:ind w:left="2160" w:leftChars="218" w:hanging="1680" w:hangingChars="700"/>
        <w:rPr>
          <w:rFonts w:hint="default" w:eastAsia="宋体"/>
          <w:lang w:val="en-US" w:eastAsia="zh-CN"/>
        </w:rPr>
      </w:pPr>
      <w:r>
        <w:rPr>
          <w:rFonts w:ascii="Times New Roman" w:hAnsi="Times New Roman"/>
        </w:rPr>
        <w:t>1.2</w:t>
      </w:r>
      <w:r>
        <w:rPr>
          <w:rFonts w:hint="eastAsia"/>
        </w:rPr>
        <w:t xml:space="preserve">  工程地点：广安市人民医院</w:t>
      </w:r>
      <w:r>
        <w:rPr>
          <w:rFonts w:hint="eastAsia"/>
          <w:lang w:val="en-US" w:eastAsia="zh-CN"/>
        </w:rPr>
        <w:t>放疗中心肿瘤科二层。</w:t>
      </w:r>
    </w:p>
    <w:p w14:paraId="42F05F6C">
      <w:pPr>
        <w:pStyle w:val="8"/>
        <w:rPr>
          <w:rFonts w:hint="eastAsia" w:eastAsia="宋体"/>
          <w:color w:val="000000" w:themeColor="text1"/>
          <w:lang w:val="en-US" w:eastAsia="zh-CN"/>
          <w14:textFill>
            <w14:solidFill>
              <w14:schemeClr w14:val="tx1"/>
            </w14:solidFill>
          </w14:textFill>
        </w:rPr>
      </w:pPr>
      <w:r>
        <w:rPr>
          <w:rFonts w:ascii="Times New Roman" w:hAnsi="Times New Roman"/>
        </w:rPr>
        <w:t>1.3</w:t>
      </w:r>
      <w:r>
        <w:rPr>
          <w:rFonts w:hint="eastAsia"/>
        </w:rPr>
        <w:t xml:space="preserve">  </w:t>
      </w:r>
      <w:r>
        <w:rPr>
          <w:rFonts w:hint="eastAsia"/>
          <w:color w:val="000000" w:themeColor="text1"/>
          <w14:textFill>
            <w14:solidFill>
              <w14:schemeClr w14:val="tx1"/>
            </w14:solidFill>
          </w14:textFill>
        </w:rPr>
        <w:t>工程内容：</w:t>
      </w:r>
      <w:r>
        <w:rPr>
          <w:rFonts w:hint="eastAsia"/>
          <w:lang w:val="en-US" w:eastAsia="zh-CN"/>
        </w:rPr>
        <w:t>主要内容包括装饰装修、暖通工程、水电改造等</w:t>
      </w:r>
      <w:r>
        <w:rPr>
          <w:rFonts w:hint="eastAsia"/>
        </w:rPr>
        <w:t>。</w:t>
      </w:r>
      <w:r>
        <w:rPr>
          <w:rFonts w:hint="eastAsia"/>
          <w:lang w:val="en-US" w:eastAsia="zh-CN"/>
        </w:rPr>
        <w:t>该项目改造面积477平方米</w:t>
      </w:r>
      <w:r>
        <w:rPr>
          <w:rFonts w:hint="eastAsia"/>
          <w:lang w:eastAsia="zh-CN"/>
        </w:rPr>
        <w:t>。具体施工范围及内容详见</w:t>
      </w:r>
      <w:r>
        <w:rPr>
          <w:rFonts w:hint="eastAsia"/>
          <w:lang w:val="en-US" w:eastAsia="zh-CN"/>
        </w:rPr>
        <w:t>肿瘤科日间化疗中心改造施工图</w:t>
      </w:r>
      <w:r>
        <w:rPr>
          <w:rFonts w:hint="eastAsia"/>
          <w:lang w:eastAsia="zh-CN"/>
        </w:rPr>
        <w:t>及工程量清单。</w:t>
      </w:r>
    </w:p>
    <w:p w14:paraId="36502F6D">
      <w:pPr>
        <w:pStyle w:val="8"/>
        <w:ind w:firstLine="0" w:firstLineChars="0"/>
        <w:rPr>
          <w:color w:val="000000" w:themeColor="text1"/>
          <w14:textFill>
            <w14:solidFill>
              <w14:schemeClr w14:val="tx1"/>
            </w14:solidFill>
          </w14:textFill>
        </w:rPr>
      </w:pPr>
      <w:r>
        <w:rPr>
          <w:rFonts w:hint="eastAsia" w:cs="宋体"/>
          <w:szCs w:val="24"/>
        </w:rPr>
        <w:t>第二条  暂定工期</w:t>
      </w:r>
    </w:p>
    <w:p w14:paraId="4FDF0E7E">
      <w:pPr>
        <w:pStyle w:val="8"/>
      </w:pPr>
      <w:r>
        <w:rPr>
          <w:rFonts w:hint="eastAsia"/>
        </w:rPr>
        <w:t xml:space="preserve">计划工期 </w:t>
      </w:r>
      <w:r>
        <w:rPr>
          <w:rFonts w:hint="eastAsia"/>
          <w:u w:val="single"/>
        </w:rPr>
        <w:t xml:space="preserve">    </w:t>
      </w:r>
      <w:r>
        <w:rPr>
          <w:rFonts w:hint="eastAsia"/>
          <w:u w:val="single"/>
          <w:lang w:val="en-US" w:eastAsia="zh-CN"/>
        </w:rPr>
        <w:t xml:space="preserve">45  </w:t>
      </w:r>
      <w:r>
        <w:rPr>
          <w:rFonts w:hint="eastAsia"/>
          <w:u w:val="single"/>
        </w:rPr>
        <w:t xml:space="preserve">   </w:t>
      </w:r>
      <w:r>
        <w:rPr>
          <w:rFonts w:hint="eastAsia"/>
        </w:rPr>
        <w:t xml:space="preserve"> 天（具体以项目实际需求为准），自开工之日起计，开工时间以甲方书面通知为准。</w:t>
      </w:r>
    </w:p>
    <w:p w14:paraId="2D60B19E">
      <w:pPr>
        <w:pStyle w:val="8"/>
        <w:ind w:firstLine="0" w:firstLineChars="0"/>
      </w:pPr>
      <w:r>
        <w:rPr>
          <w:rFonts w:hint="eastAsia" w:cs="宋体"/>
          <w:szCs w:val="24"/>
        </w:rPr>
        <w:t>第三条  合同价款</w:t>
      </w:r>
    </w:p>
    <w:p w14:paraId="25CAB173">
      <w:pPr>
        <w:pStyle w:val="8"/>
      </w:pPr>
      <w:r>
        <w:rPr>
          <w:rFonts w:ascii="Times New Roman" w:hAnsi="Times New Roman"/>
        </w:rPr>
        <w:t>3.1</w:t>
      </w:r>
      <w:r>
        <w:rPr>
          <w:rFonts w:hint="eastAsia"/>
        </w:rPr>
        <w:t xml:space="preserve">  本合同为固定单价合同。合同单价在合同执行过程中固定不变，不因物价波动而调整，风险和收益由乙方自行承担和享有。实际完成工程量经验收审计结果进行计算。</w:t>
      </w:r>
    </w:p>
    <w:p w14:paraId="02CA6BEC">
      <w:pPr>
        <w:pStyle w:val="8"/>
        <w:rPr>
          <w:u w:val="single"/>
        </w:rPr>
      </w:pPr>
      <w:r>
        <w:rPr>
          <w:rFonts w:ascii="Times New Roman" w:hAnsi="Times New Roman"/>
        </w:rPr>
        <w:t xml:space="preserve">3.2 </w:t>
      </w:r>
      <w:r>
        <w:rPr>
          <w:rFonts w:hint="eastAsia"/>
        </w:rPr>
        <w:t xml:space="preserve"> 合同暂估价：</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r>
        <w:rPr>
          <w:rFonts w:hint="eastAsia" w:ascii="Times New Roman" w:hAnsi="Times New Roman"/>
          <w:bCs/>
          <w:szCs w:val="24"/>
          <w:u w:val="single"/>
        </w:rPr>
        <w:t xml:space="preserve">    </w:t>
      </w:r>
      <w:r>
        <w:rPr>
          <w:rFonts w:hint="eastAsia"/>
        </w:rPr>
        <w:t>元，大写：</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p>
    <w:p w14:paraId="4ED9093E">
      <w:pPr>
        <w:pStyle w:val="8"/>
        <w:jc w:val="left"/>
        <w:rPr>
          <w:rFonts w:hint="eastAsia" w:ascii="Times New Roman" w:hAnsi="Times New Roman"/>
          <w:bCs/>
          <w:szCs w:val="24"/>
          <w:u w:val="single"/>
          <w:lang w:val="en-US" w:eastAsia="zh-CN"/>
        </w:rPr>
      </w:pPr>
      <w:r>
        <w:rPr>
          <w:rFonts w:ascii="Times New Roman" w:hAnsi="Times New Roman"/>
        </w:rPr>
        <w:t xml:space="preserve">3.3 </w:t>
      </w:r>
      <w:r>
        <w:rPr>
          <w:rFonts w:hint="eastAsia"/>
        </w:rPr>
        <w:t xml:space="preserve"> 投标人中标后需向我院缴纳履约保证金：合同暂估价总额的</w:t>
      </w:r>
      <w:r>
        <w:rPr>
          <w:rFonts w:hint="eastAsia" w:ascii="Times New Roman" w:hAnsi="Times New Roman"/>
          <w:bCs/>
          <w:szCs w:val="24"/>
        </w:rPr>
        <w:t>10%</w:t>
      </w:r>
      <w:r>
        <w:rPr>
          <w:rFonts w:hint="eastAsia"/>
        </w:rPr>
        <w:t>，</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p>
    <w:p w14:paraId="5BB469B2">
      <w:pPr>
        <w:pStyle w:val="8"/>
        <w:ind w:left="0" w:leftChars="0" w:firstLine="0" w:firstLineChars="0"/>
        <w:jc w:val="left"/>
        <w:rPr>
          <w:rFonts w:hint="eastAsia" w:eastAsia="宋体"/>
          <w:highlight w:val="yellow"/>
          <w:lang w:eastAsia="zh-CN"/>
        </w:rPr>
      </w:pPr>
      <w:r>
        <w:rPr>
          <w:rFonts w:hint="eastAsia" w:ascii="Times New Roman" w:hAnsi="Times New Roman"/>
          <w:bCs/>
          <w:szCs w:val="24"/>
          <w:u w:val="single"/>
        </w:rPr>
        <w:t xml:space="preserve">         </w:t>
      </w:r>
      <w:r>
        <w:rPr>
          <w:rFonts w:hint="eastAsia"/>
          <w:u w:val="single"/>
          <w:lang w:val="en-US" w:eastAsia="zh-CN"/>
        </w:rPr>
        <w:t xml:space="preserve">       </w:t>
      </w:r>
      <w:r>
        <w:rPr>
          <w:rFonts w:hint="eastAsia"/>
        </w:rPr>
        <w:t>元，大写：</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，已实施的项目预算达到合同总额，所有已实施内容验收合格后退还。</w:t>
      </w:r>
      <w:r>
        <w:rPr>
          <w:rFonts w:hint="eastAsia"/>
          <w:highlight w:val="none"/>
          <w:lang w:eastAsia="zh-CN"/>
        </w:rPr>
        <w:t>（</w:t>
      </w:r>
      <w:r>
        <w:rPr>
          <w:rFonts w:hint="eastAsia"/>
          <w:highlight w:val="none"/>
        </w:rPr>
        <w:t>履约保证金可以以支票、汇票、本票或者金融机构、担保机构出具的保函等非现金形式提交</w:t>
      </w:r>
      <w:r>
        <w:rPr>
          <w:rFonts w:hint="eastAsia"/>
          <w:highlight w:val="none"/>
          <w:lang w:eastAsia="zh-CN"/>
        </w:rPr>
        <w:t>，</w:t>
      </w:r>
      <w:r>
        <w:rPr>
          <w:rFonts w:hint="eastAsia"/>
          <w:highlight w:val="none"/>
        </w:rPr>
        <w:t>包括网银转账，电汇等方式</w:t>
      </w:r>
      <w:r>
        <w:rPr>
          <w:rFonts w:hint="eastAsia"/>
          <w:highlight w:val="none"/>
          <w:lang w:eastAsia="zh-CN"/>
        </w:rPr>
        <w:t>）</w:t>
      </w:r>
    </w:p>
    <w:p w14:paraId="783085BF">
      <w:pPr>
        <w:pStyle w:val="8"/>
        <w:ind w:firstLine="0" w:firstLineChars="0"/>
      </w:pPr>
      <w:r>
        <w:rPr>
          <w:rFonts w:hint="eastAsia" w:cs="宋体"/>
          <w:szCs w:val="24"/>
        </w:rPr>
        <w:t>第四条   双方责任</w:t>
      </w:r>
    </w:p>
    <w:p w14:paraId="75D11FC0">
      <w:pPr>
        <w:spacing w:line="440" w:lineRule="exact"/>
        <w:ind w:firstLine="480" w:firstLineChars="200"/>
        <w:contextualSpacing/>
        <w:jc w:val="both"/>
        <w:rPr>
          <w:rFonts w:ascii="宋体" w:hAnsi="宋体" w:eastAsia="宋体" w:cs="宋体"/>
          <w:b/>
          <w:sz w:val="24"/>
          <w:szCs w:val="24"/>
        </w:rPr>
      </w:pPr>
      <w:r>
        <w:rPr>
          <w:rFonts w:ascii="Times New Roman" w:hAnsi="Times New Roman" w:eastAsia="宋体" w:cs="Times New Roman"/>
          <w:bCs/>
          <w:sz w:val="24"/>
          <w:szCs w:val="24"/>
        </w:rPr>
        <w:t>4.1</w:t>
      </w:r>
      <w:r>
        <w:rPr>
          <w:rFonts w:hint="eastAsia" w:ascii="宋体" w:hAnsi="宋体" w:eastAsia="宋体" w:cs="宋体"/>
          <w:bCs/>
          <w:sz w:val="24"/>
          <w:szCs w:val="24"/>
        </w:rPr>
        <w:t xml:space="preserve">  </w:t>
      </w:r>
      <w:r>
        <w:rPr>
          <w:rFonts w:hint="eastAsia" w:ascii="宋体" w:hAnsi="宋体" w:eastAsia="宋体" w:cs="宋体"/>
          <w:b/>
          <w:sz w:val="24"/>
          <w:szCs w:val="24"/>
        </w:rPr>
        <w:t>甲方责任：</w:t>
      </w:r>
    </w:p>
    <w:p w14:paraId="5A241793">
      <w:pPr>
        <w:pStyle w:val="8"/>
      </w:pPr>
      <w:r>
        <w:rPr>
          <w:rFonts w:ascii="Times New Roman" w:hAnsi="Times New Roman"/>
        </w:rPr>
        <w:t>（1）</w:t>
      </w:r>
      <w:r>
        <w:rPr>
          <w:rFonts w:hint="eastAsia"/>
        </w:rPr>
        <w:t>甲方负责协调现场施工的相应关系，提供必要水源、电源，协调好施工工作面。</w:t>
      </w:r>
    </w:p>
    <w:p w14:paraId="6975CD33">
      <w:pPr>
        <w:pStyle w:val="8"/>
      </w:pPr>
      <w:r>
        <w:rPr>
          <w:rFonts w:ascii="Times New Roman" w:hAnsi="Times New Roman"/>
        </w:rPr>
        <w:t>（</w:t>
      </w:r>
      <w:r>
        <w:rPr>
          <w:rFonts w:hint="eastAsia" w:ascii="Times New Roman" w:hAnsi="Times New Roman"/>
        </w:rPr>
        <w:t>2</w:t>
      </w:r>
      <w:r>
        <w:rPr>
          <w:rFonts w:ascii="Times New Roman" w:hAnsi="Times New Roman"/>
        </w:rPr>
        <w:t>）</w:t>
      </w:r>
      <w:r>
        <w:rPr>
          <w:rFonts w:hint="eastAsia"/>
        </w:rPr>
        <w:t>甲方按合同的约定及时支付工程款。</w:t>
      </w:r>
    </w:p>
    <w:p w14:paraId="1B891437">
      <w:pPr>
        <w:pStyle w:val="8"/>
        <w:rPr>
          <w:b/>
        </w:rPr>
      </w:pPr>
      <w:r>
        <w:rPr>
          <w:rFonts w:ascii="Times New Roman" w:hAnsi="Times New Roman"/>
        </w:rPr>
        <w:t>（</w:t>
      </w:r>
      <w:r>
        <w:rPr>
          <w:rFonts w:hint="eastAsia" w:ascii="Times New Roman" w:hAnsi="Times New Roman"/>
        </w:rPr>
        <w:t>3</w:t>
      </w:r>
      <w:r>
        <w:rPr>
          <w:rFonts w:ascii="Times New Roman" w:hAnsi="Times New Roman"/>
        </w:rPr>
        <w:t>）</w:t>
      </w:r>
      <w:r>
        <w:rPr>
          <w:rFonts w:hint="eastAsia"/>
        </w:rPr>
        <w:t>甲方项目负责人：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，联系电话：</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r>
        <w:rPr>
          <w:rFonts w:hint="eastAsia" w:ascii="Times New Roman" w:hAnsi="Times New Roman"/>
          <w:bCs/>
          <w:szCs w:val="24"/>
          <w:u w:val="single"/>
        </w:rPr>
        <w:t xml:space="preserve">    </w:t>
      </w:r>
      <w:r>
        <w:rPr>
          <w:rFonts w:hint="eastAsia"/>
        </w:rPr>
        <w:t xml:space="preserve"> ；现场管理协调指派人员</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，联系电话：</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r>
        <w:rPr>
          <w:rFonts w:hint="eastAsia" w:ascii="Times New Roman" w:hAnsi="Times New Roman"/>
          <w:bCs/>
          <w:szCs w:val="24"/>
          <w:u w:val="single"/>
        </w:rPr>
        <w:t xml:space="preserve">  </w:t>
      </w:r>
      <w:r>
        <w:rPr>
          <w:rFonts w:hint="eastAsia" w:ascii="Times New Roman" w:hAnsi="Times New Roman"/>
          <w:bCs/>
          <w:szCs w:val="24"/>
          <w:u w:val="single"/>
          <w:lang w:val="en-US" w:eastAsia="zh-CN"/>
        </w:rPr>
        <w:t xml:space="preserve">  </w:t>
      </w:r>
      <w:r>
        <w:rPr>
          <w:rFonts w:hint="eastAsia" w:ascii="Times New Roman" w:hAnsi="Times New Roman"/>
          <w:bCs/>
          <w:szCs w:val="24"/>
          <w:u w:val="single"/>
        </w:rPr>
        <w:t xml:space="preserve">    </w:t>
      </w:r>
      <w:r>
        <w:rPr>
          <w:rFonts w:hint="eastAsia"/>
        </w:rPr>
        <w:t>。该负责人有权代表甲方对本项目现场施工管理及技术问题类事宜进行签字确认。</w:t>
      </w:r>
    </w:p>
    <w:p w14:paraId="242D3C16">
      <w:pPr>
        <w:pStyle w:val="3"/>
        <w:keepNext w:val="0"/>
        <w:keepLines w:val="0"/>
        <w:ind w:firstLine="480" w:firstLineChars="200"/>
        <w:jc w:val="both"/>
        <w:rPr>
          <w:rFonts w:ascii="宋体" w:hAnsi="宋体" w:eastAsia="宋体" w:cs="宋体"/>
          <w:b w:val="0"/>
          <w:bCs/>
          <w:szCs w:val="24"/>
        </w:rPr>
      </w:pPr>
      <w:r>
        <w:rPr>
          <w:rFonts w:ascii="Times New Roman" w:hAnsi="Times New Roman" w:eastAsia="宋体" w:cs="Times New Roman"/>
          <w:b w:val="0"/>
          <w:bCs/>
          <w:szCs w:val="24"/>
        </w:rPr>
        <w:t xml:space="preserve">4.2 </w:t>
      </w:r>
      <w:r>
        <w:rPr>
          <w:rFonts w:hint="eastAsia" w:ascii="宋体" w:hAnsi="宋体" w:eastAsia="宋体" w:cs="宋体"/>
          <w:b w:val="0"/>
          <w:bCs/>
          <w:szCs w:val="24"/>
        </w:rPr>
        <w:t xml:space="preserve"> </w:t>
      </w:r>
      <w:r>
        <w:rPr>
          <w:rFonts w:hint="eastAsia" w:ascii="宋体" w:hAnsi="宋体" w:eastAsia="宋体" w:cs="宋体"/>
          <w:szCs w:val="24"/>
        </w:rPr>
        <w:t>乙方责任：</w:t>
      </w:r>
    </w:p>
    <w:p w14:paraId="62CA9483">
      <w:pPr>
        <w:pStyle w:val="8"/>
        <w:rPr>
          <w:b/>
        </w:rPr>
      </w:pPr>
      <w:r>
        <w:rPr>
          <w:rFonts w:hint="eastAsia" w:ascii="Times New Roman" w:hAnsi="Times New Roman"/>
          <w:bCs/>
          <w:szCs w:val="24"/>
        </w:rPr>
        <w:t>（1）</w:t>
      </w:r>
      <w:r>
        <w:rPr>
          <w:rFonts w:hint="eastAsia"/>
        </w:rPr>
        <w:t>乙方接到甲方通知（开工通知书）后7日内进场施工，施工进度须满足主体工程进度要求。</w:t>
      </w:r>
    </w:p>
    <w:p w14:paraId="04BE1D88">
      <w:pPr>
        <w:pStyle w:val="8"/>
        <w:rPr>
          <w:b/>
        </w:rPr>
      </w:pPr>
      <w:r>
        <w:rPr>
          <w:rFonts w:hint="eastAsia" w:ascii="Times New Roman" w:hAnsi="Times New Roman"/>
          <w:bCs/>
          <w:szCs w:val="24"/>
        </w:rPr>
        <w:t>（2）</w:t>
      </w:r>
      <w:r>
        <w:rPr>
          <w:rFonts w:hint="eastAsia"/>
        </w:rPr>
        <w:t>施工过程必须执行相关规范标准。</w:t>
      </w:r>
    </w:p>
    <w:p w14:paraId="5702F164">
      <w:pPr>
        <w:pStyle w:val="8"/>
        <w:rPr>
          <w:b/>
        </w:rPr>
      </w:pPr>
      <w:r>
        <w:rPr>
          <w:rFonts w:hint="eastAsia" w:ascii="Times New Roman" w:hAnsi="Times New Roman"/>
          <w:bCs/>
          <w:szCs w:val="24"/>
        </w:rPr>
        <w:t>（3）</w:t>
      </w:r>
      <w:r>
        <w:rPr>
          <w:rFonts w:hint="eastAsia"/>
        </w:rPr>
        <w:t>乙方根据甲方的场地要求，做好场地防火及有关安全事宜，做好工地的安全和保卫工作，确保按安全操作规程施工。乙方在施工过程中，若发生安全责任事故由乙方负责处理，并承担全部责任与费用。如因事故给甲方造成损失的，乙方应负责赔偿。</w:t>
      </w:r>
    </w:p>
    <w:p w14:paraId="1C351726">
      <w:pPr>
        <w:pStyle w:val="8"/>
        <w:rPr>
          <w:b/>
        </w:rPr>
      </w:pPr>
      <w:r>
        <w:rPr>
          <w:rFonts w:hint="eastAsia" w:ascii="Times New Roman" w:hAnsi="Times New Roman"/>
          <w:bCs/>
          <w:szCs w:val="24"/>
        </w:rPr>
        <w:t>（4）</w:t>
      </w:r>
      <w:r>
        <w:rPr>
          <w:rFonts w:hint="eastAsia"/>
        </w:rPr>
        <w:t>乙方采购的材料、设备必须按投标文件的品牌、型号执行，并提供合格或质量保证书，与提供样品一致。如不符合工程质量要求，乙方应自费进行整改，由此造成的经济损失或工期延误，由乙方自行承担一切责任。</w:t>
      </w:r>
    </w:p>
    <w:p w14:paraId="49798A10">
      <w:pPr>
        <w:pStyle w:val="8"/>
      </w:pPr>
      <w:r>
        <w:rPr>
          <w:rFonts w:hint="eastAsia" w:ascii="Times New Roman" w:hAnsi="Times New Roman"/>
          <w:bCs/>
          <w:szCs w:val="24"/>
        </w:rPr>
        <w:t>（5）</w:t>
      </w:r>
      <w:r>
        <w:rPr>
          <w:rFonts w:hint="eastAsia"/>
        </w:rPr>
        <w:t>工程竣工后，乙方须负责提供详细的竣工图、技术资料（简易项目除外）及结算资料。不涉及可不提供。</w:t>
      </w:r>
    </w:p>
    <w:p w14:paraId="4D59CBB3">
      <w:pPr>
        <w:pStyle w:val="8"/>
        <w:rPr>
          <w:rFonts w:ascii="Times New Roman" w:hAnsi="Times New Roman"/>
          <w:bCs/>
          <w:szCs w:val="24"/>
        </w:rPr>
      </w:pPr>
      <w:r>
        <w:rPr>
          <w:rFonts w:hint="eastAsia" w:ascii="Times New Roman" w:hAnsi="Times New Roman"/>
          <w:bCs/>
          <w:szCs w:val="24"/>
        </w:rPr>
        <w:t>（6）特种作业人员须持证方可上岗操作，并严格遵守消防安全规定。电气焊作业必须符合《焊接与切割安全》（GB9448）相关要求。现场必须配备足够数量的灭火器材随时备用。动火作业完成后要清理现场，确保不遗留安全隐患。</w:t>
      </w:r>
    </w:p>
    <w:p w14:paraId="1202F0F1">
      <w:pPr>
        <w:pStyle w:val="8"/>
        <w:rPr>
          <w:rFonts w:hint="eastAsia"/>
        </w:rPr>
      </w:pPr>
      <w:r>
        <w:rPr>
          <w:rFonts w:hint="eastAsia" w:ascii="Times New Roman" w:hAnsi="Times New Roman"/>
          <w:bCs/>
          <w:szCs w:val="24"/>
        </w:rPr>
        <w:t>（7）</w:t>
      </w:r>
      <w:r>
        <w:rPr>
          <w:rFonts w:hint="eastAsia" w:ascii="Times New Roman" w:hAnsi="Times New Roman"/>
          <w:bCs/>
          <w:szCs w:val="24"/>
          <w:lang w:val="en-US" w:eastAsia="zh-CN"/>
        </w:rPr>
        <w:t>乙方</w:t>
      </w:r>
      <w:r>
        <w:rPr>
          <w:rFonts w:hint="eastAsia"/>
        </w:rPr>
        <w:t>应严格遵守《施工人员安全管理办法》和《安全文明施工的相关条例》，与甲方签订《施工安全责任协议书》，详情见附件。</w:t>
      </w:r>
    </w:p>
    <w:p w14:paraId="4AA321E3">
      <w:pPr>
        <w:pStyle w:val="8"/>
        <w:rPr>
          <w:rFonts w:hint="eastAsia"/>
          <w:lang w:eastAsia="zh-CN"/>
        </w:rPr>
      </w:pPr>
      <w:r>
        <w:rPr>
          <w:rFonts w:hint="eastAsia" w:ascii="Times New Roman" w:hAnsi="Times New Roman"/>
          <w:bCs/>
          <w:szCs w:val="24"/>
          <w:lang w:eastAsia="zh-CN"/>
        </w:rPr>
        <w:t>（</w:t>
      </w:r>
      <w:r>
        <w:rPr>
          <w:rFonts w:hint="eastAsia" w:ascii="Times New Roman" w:hAnsi="Times New Roman"/>
          <w:bCs/>
          <w:szCs w:val="24"/>
          <w:lang w:val="en-US" w:eastAsia="zh-CN"/>
        </w:rPr>
        <w:t>8</w:t>
      </w:r>
      <w:r>
        <w:rPr>
          <w:rFonts w:hint="eastAsia" w:ascii="Times New Roman" w:hAnsi="Times New Roman"/>
          <w:bCs/>
          <w:szCs w:val="24"/>
          <w:lang w:eastAsia="zh-CN"/>
        </w:rPr>
        <w:t>）</w:t>
      </w:r>
      <w:r>
        <w:rPr>
          <w:rFonts w:hint="eastAsia" w:ascii="Times New Roman" w:hAnsi="Times New Roman"/>
          <w:bCs/>
          <w:szCs w:val="24"/>
          <w:lang w:val="en-US" w:eastAsia="zh-CN"/>
        </w:rPr>
        <w:t>乙方</w:t>
      </w:r>
      <w:r>
        <w:rPr>
          <w:rFonts w:hint="eastAsia"/>
        </w:rPr>
        <w:t>应严格遵守</w:t>
      </w:r>
      <w:r>
        <w:rPr>
          <w:rFonts w:hint="eastAsia"/>
          <w:lang w:eastAsia="zh-CN"/>
        </w:rPr>
        <w:t>《</w:t>
      </w:r>
      <w:r>
        <w:rPr>
          <w:rFonts w:hint="eastAsia"/>
          <w:lang w:val="en-US" w:eastAsia="zh-CN"/>
        </w:rPr>
        <w:t>建筑法</w:t>
      </w:r>
      <w:r>
        <w:rPr>
          <w:rFonts w:hint="eastAsia"/>
          <w:lang w:eastAsia="zh-CN"/>
        </w:rPr>
        <w:t>》、《</w:t>
      </w:r>
      <w:r>
        <w:rPr>
          <w:rFonts w:hint="eastAsia"/>
          <w:lang w:val="en-US" w:eastAsia="zh-CN"/>
        </w:rPr>
        <w:t>安全生产法</w:t>
      </w:r>
      <w:r>
        <w:rPr>
          <w:rFonts w:hint="eastAsia"/>
          <w:lang w:eastAsia="zh-CN"/>
        </w:rPr>
        <w:t>》、《</w:t>
      </w:r>
      <w:r>
        <w:rPr>
          <w:rFonts w:hint="eastAsia"/>
          <w:lang w:val="en-US" w:eastAsia="zh-CN"/>
        </w:rPr>
        <w:t>劳动法</w:t>
      </w:r>
      <w:r>
        <w:rPr>
          <w:rFonts w:hint="eastAsia"/>
          <w:lang w:eastAsia="zh-CN"/>
        </w:rPr>
        <w:t>》、《</w:t>
      </w:r>
      <w:r>
        <w:rPr>
          <w:rFonts w:hint="eastAsia"/>
          <w:lang w:val="en-US" w:eastAsia="zh-CN"/>
        </w:rPr>
        <w:t>建设工程安全生产管理条例</w:t>
      </w:r>
      <w:r>
        <w:rPr>
          <w:rFonts w:hint="eastAsia"/>
          <w:lang w:eastAsia="zh-CN"/>
        </w:rPr>
        <w:t>》。</w:t>
      </w:r>
    </w:p>
    <w:p w14:paraId="391C0716">
      <w:pPr>
        <w:pStyle w:val="8"/>
        <w:rPr>
          <w:rFonts w:hint="eastAsia"/>
          <w:highlight w:val="none"/>
          <w:lang w:val="en-US" w:eastAsia="zh-CN"/>
        </w:rPr>
      </w:pPr>
      <w:r>
        <w:rPr>
          <w:rFonts w:hint="eastAsia"/>
          <w:highlight w:val="none"/>
          <w:lang w:eastAsia="zh-CN"/>
        </w:rPr>
        <w:t>（</w:t>
      </w:r>
      <w:r>
        <w:rPr>
          <w:rFonts w:hint="eastAsia"/>
          <w:highlight w:val="none"/>
          <w:lang w:val="en-US" w:eastAsia="zh-CN"/>
        </w:rPr>
        <w:t>9</w:t>
      </w:r>
      <w:r>
        <w:rPr>
          <w:rFonts w:hint="eastAsia"/>
          <w:highlight w:val="none"/>
          <w:lang w:eastAsia="zh-CN"/>
        </w:rPr>
        <w:t>）</w:t>
      </w:r>
      <w:r>
        <w:rPr>
          <w:rFonts w:hint="eastAsia"/>
          <w:highlight w:val="none"/>
          <w:lang w:val="en-US" w:eastAsia="zh-CN"/>
        </w:rPr>
        <w:t>乙方应制定针对本项目完整的《安全管理体系与措施》包括但不限于以下要素：</w:t>
      </w:r>
    </w:p>
    <w:p w14:paraId="55D3619B">
      <w:pPr>
        <w:pStyle w:val="8"/>
        <w:rPr>
          <w:rFonts w:hint="default"/>
          <w:highlight w:val="none"/>
          <w:lang w:val="en-US" w:eastAsia="zh-CN"/>
        </w:rPr>
      </w:pPr>
      <w:r>
        <w:rPr>
          <w:rFonts w:hint="eastAsia"/>
          <w:highlight w:val="none"/>
          <w:lang w:val="en-US" w:eastAsia="zh-CN"/>
        </w:rPr>
        <w:t>乙方</w:t>
      </w:r>
      <w:r>
        <w:rPr>
          <w:rFonts w:hint="default"/>
          <w:highlight w:val="none"/>
          <w:lang w:val="en-US" w:eastAsia="zh-CN"/>
        </w:rPr>
        <w:t>制定有针对本项目的安全管理体系；</w:t>
      </w:r>
    </w:p>
    <w:p w14:paraId="38A84D9A">
      <w:pPr>
        <w:pStyle w:val="8"/>
        <w:rPr>
          <w:rFonts w:hint="default"/>
          <w:highlight w:val="none"/>
          <w:lang w:val="en-US" w:eastAsia="zh-CN"/>
        </w:rPr>
      </w:pPr>
      <w:r>
        <w:rPr>
          <w:rFonts w:hint="eastAsia"/>
          <w:highlight w:val="none"/>
          <w:lang w:val="en-US" w:eastAsia="zh-CN"/>
        </w:rPr>
        <w:t>乙方</w:t>
      </w:r>
      <w:r>
        <w:rPr>
          <w:rFonts w:hint="default"/>
          <w:highlight w:val="none"/>
          <w:lang w:val="en-US" w:eastAsia="zh-CN"/>
        </w:rPr>
        <w:t>制定有针对本项目的安全技术措施；</w:t>
      </w:r>
    </w:p>
    <w:p w14:paraId="49B14650">
      <w:pPr>
        <w:pStyle w:val="8"/>
        <w:rPr>
          <w:rFonts w:hint="default"/>
          <w:highlight w:val="none"/>
          <w:lang w:val="en-US" w:eastAsia="zh-CN"/>
        </w:rPr>
      </w:pPr>
      <w:r>
        <w:rPr>
          <w:rFonts w:hint="eastAsia"/>
          <w:highlight w:val="none"/>
          <w:lang w:val="en-US" w:eastAsia="zh-CN"/>
        </w:rPr>
        <w:t>乙方</w:t>
      </w:r>
      <w:r>
        <w:rPr>
          <w:rFonts w:hint="default"/>
          <w:highlight w:val="none"/>
          <w:lang w:val="en-US" w:eastAsia="zh-CN"/>
        </w:rPr>
        <w:t>制定有针对本项目的安全应急预案。</w:t>
      </w:r>
    </w:p>
    <w:p w14:paraId="7CB3DD7D">
      <w:pPr>
        <w:pStyle w:val="8"/>
        <w:rPr>
          <w:rFonts w:hint="default"/>
          <w:highlight w:val="none"/>
          <w:lang w:val="en-US" w:eastAsia="zh-CN"/>
        </w:rPr>
      </w:pPr>
      <w:r>
        <w:rPr>
          <w:rFonts w:hint="eastAsia"/>
          <w:highlight w:val="none"/>
          <w:lang w:val="en-US" w:eastAsia="zh-CN"/>
        </w:rPr>
        <w:t>乙方</w:t>
      </w:r>
      <w:r>
        <w:rPr>
          <w:rFonts w:hint="default"/>
          <w:highlight w:val="none"/>
          <w:lang w:val="en-US" w:eastAsia="zh-CN"/>
        </w:rPr>
        <w:t>制定有针对本项目环境保护管理体系及现场文明施工措施。</w:t>
      </w:r>
    </w:p>
    <w:p w14:paraId="17C145FB">
      <w:pPr>
        <w:pStyle w:val="8"/>
        <w:rPr>
          <w:rFonts w:hint="eastAsia"/>
          <w:highlight w:val="none"/>
          <w:lang w:val="en-US" w:eastAsia="zh-CN"/>
        </w:rPr>
      </w:pPr>
      <w:r>
        <w:rPr>
          <w:rFonts w:hint="eastAsia"/>
          <w:highlight w:val="none"/>
          <w:lang w:val="en-US" w:eastAsia="zh-CN"/>
        </w:rPr>
        <w:t>（10）</w:t>
      </w:r>
      <w:r>
        <w:rPr>
          <w:rFonts w:hint="eastAsia"/>
          <w:highlight w:val="none"/>
        </w:rPr>
        <w:t>乙方应制定针对本项目的工程进度计划及施工进度网络图</w:t>
      </w:r>
      <w:r>
        <w:rPr>
          <w:rFonts w:hint="eastAsia"/>
          <w:highlight w:val="none"/>
          <w:lang w:eastAsia="zh-CN"/>
        </w:rPr>
        <w:t>，</w:t>
      </w:r>
      <w:r>
        <w:rPr>
          <w:rFonts w:hint="eastAsia"/>
          <w:highlight w:val="none"/>
          <w:lang w:val="en-US" w:eastAsia="zh-CN"/>
        </w:rPr>
        <w:t>制定有针对本项目的工期保障措施。</w:t>
      </w:r>
    </w:p>
    <w:p w14:paraId="2FA937DD">
      <w:pPr>
        <w:pStyle w:val="8"/>
        <w:rPr>
          <w:rFonts w:hint="eastAsia"/>
          <w:highlight w:val="none"/>
          <w:lang w:val="en-US" w:eastAsia="zh-CN"/>
        </w:rPr>
      </w:pPr>
      <w:r>
        <w:rPr>
          <w:rFonts w:hint="eastAsia"/>
          <w:highlight w:val="none"/>
          <w:lang w:val="en-US" w:eastAsia="zh-CN"/>
        </w:rPr>
        <w:t>（11）乙方在开工前应提供《施工方案与技术措施》（简易项目除外），要求包括但不限于以下要素：</w:t>
      </w:r>
    </w:p>
    <w:p w14:paraId="4AC3D9B5">
      <w:pPr>
        <w:pStyle w:val="8"/>
        <w:rPr>
          <w:rFonts w:hint="eastAsia"/>
          <w:highlight w:val="none"/>
          <w:lang w:val="en-US" w:eastAsia="zh-CN"/>
        </w:rPr>
      </w:pPr>
      <w:r>
        <w:rPr>
          <w:rFonts w:hint="eastAsia"/>
          <w:highlight w:val="none"/>
          <w:lang w:val="en-US" w:eastAsia="zh-CN"/>
        </w:rPr>
        <w:t>水电供应保障方案；</w:t>
      </w:r>
    </w:p>
    <w:p w14:paraId="6028F4F2">
      <w:pPr>
        <w:pStyle w:val="8"/>
        <w:rPr>
          <w:rFonts w:hint="default"/>
          <w:highlight w:val="none"/>
          <w:lang w:val="en-US" w:eastAsia="zh-CN"/>
        </w:rPr>
      </w:pPr>
      <w:r>
        <w:rPr>
          <w:rFonts w:hint="default"/>
          <w:highlight w:val="none"/>
          <w:lang w:val="en-US" w:eastAsia="zh-CN"/>
        </w:rPr>
        <w:t>改造施工期间病人医疗保障方案（降噪、防尘方案、作业时间）；</w:t>
      </w:r>
    </w:p>
    <w:p w14:paraId="6C8E6316">
      <w:pPr>
        <w:pStyle w:val="8"/>
        <w:rPr>
          <w:rFonts w:hint="default"/>
          <w:highlight w:val="none"/>
          <w:lang w:val="en-US" w:eastAsia="zh-CN"/>
        </w:rPr>
      </w:pPr>
      <w:r>
        <w:rPr>
          <w:rFonts w:hint="default"/>
          <w:highlight w:val="none"/>
          <w:lang w:val="en-US" w:eastAsia="zh-CN"/>
        </w:rPr>
        <w:t>质保期内的运维方案；</w:t>
      </w:r>
    </w:p>
    <w:p w14:paraId="4A2E9F1E">
      <w:pPr>
        <w:pStyle w:val="8"/>
        <w:rPr>
          <w:rFonts w:hint="default"/>
          <w:highlight w:val="none"/>
          <w:lang w:val="en-US" w:eastAsia="zh-CN"/>
        </w:rPr>
      </w:pPr>
      <w:r>
        <w:rPr>
          <w:rFonts w:hint="default"/>
          <w:highlight w:val="none"/>
          <w:lang w:val="en-US" w:eastAsia="zh-CN"/>
        </w:rPr>
        <w:t>消防要求符合保障方案。</w:t>
      </w:r>
    </w:p>
    <w:p w14:paraId="2D067D59">
      <w:pPr>
        <w:pStyle w:val="8"/>
        <w:numPr>
          <w:ilvl w:val="0"/>
          <w:numId w:val="1"/>
        </w:numPr>
        <w:rPr>
          <w:rFonts w:hint="eastAsia"/>
          <w:highlight w:val="none"/>
          <w:lang w:val="en-US" w:eastAsia="zh-CN"/>
        </w:rPr>
      </w:pPr>
      <w:r>
        <w:rPr>
          <w:rFonts w:hint="eastAsia"/>
          <w:highlight w:val="none"/>
        </w:rPr>
        <w:t>乙方现场指派项目负责人员</w:t>
      </w:r>
      <w:r>
        <w:rPr>
          <w:rFonts w:hint="eastAsia"/>
          <w:highlight w:val="none"/>
          <w:lang w:eastAsia="zh-CN"/>
        </w:rPr>
        <w:t>（</w:t>
      </w:r>
      <w:r>
        <w:rPr>
          <w:rFonts w:hint="eastAsia"/>
          <w:highlight w:val="none"/>
          <w:lang w:val="en-US" w:eastAsia="zh-CN"/>
        </w:rPr>
        <w:t>项目经理</w:t>
      </w:r>
      <w:r>
        <w:rPr>
          <w:rFonts w:hint="eastAsia"/>
          <w:highlight w:val="none"/>
          <w:lang w:eastAsia="zh-CN"/>
        </w:rPr>
        <w:t>）</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，电话：</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w:t>
      </w:r>
      <w:r>
        <w:rPr>
          <w:rFonts w:hint="eastAsia"/>
          <w:highlight w:val="none"/>
          <w:lang w:val="en-US" w:eastAsia="zh-CN"/>
        </w:rPr>
        <w:t>该负责人必须为乙方正式员工，开工前乙方须提供人员在职证明材料，负责人需具备建筑工程二级或以上注册建造师证书且必须到现场履行职责。开工前乙方须提供人员在职证明材料。</w:t>
      </w:r>
    </w:p>
    <w:p w14:paraId="253981A5">
      <w:pPr>
        <w:pStyle w:val="8"/>
        <w:numPr>
          <w:ilvl w:val="0"/>
          <w:numId w:val="1"/>
        </w:numPr>
        <w:rPr>
          <w:rFonts w:hint="eastAsia"/>
          <w:highlight w:val="none"/>
          <w:lang w:val="en-US" w:eastAsia="zh-CN"/>
        </w:rPr>
      </w:pPr>
      <w:r>
        <w:rPr>
          <w:rFonts w:hint="eastAsia"/>
          <w:highlight w:val="none"/>
          <w:lang w:val="en-US" w:eastAsia="zh-CN"/>
        </w:rPr>
        <w:t>乙方现场指派技术负责人：</w:t>
      </w:r>
      <w:r>
        <w:rPr>
          <w:rFonts w:hint="eastAsia"/>
          <w:highlight w:val="none"/>
          <w:u w:val="single"/>
          <w:lang w:val="en-US" w:eastAsia="zh-CN"/>
        </w:rPr>
        <w:t xml:space="preserve">           </w:t>
      </w:r>
      <w:r>
        <w:rPr>
          <w:rFonts w:hint="eastAsia"/>
          <w:highlight w:val="none"/>
          <w:u w:val="none"/>
          <w:lang w:val="en-US" w:eastAsia="zh-CN"/>
        </w:rPr>
        <w:t>，电话：</w:t>
      </w:r>
      <w:r>
        <w:rPr>
          <w:rFonts w:hint="eastAsia"/>
          <w:highlight w:val="none"/>
          <w:u w:val="single"/>
          <w:lang w:val="en-US" w:eastAsia="zh-CN"/>
        </w:rPr>
        <w:t xml:space="preserve">            </w:t>
      </w:r>
      <w:r>
        <w:rPr>
          <w:rFonts w:hint="eastAsia"/>
          <w:highlight w:val="none"/>
          <w:u w:val="none"/>
          <w:lang w:val="en-US" w:eastAsia="zh-CN"/>
        </w:rPr>
        <w:t>。</w:t>
      </w:r>
      <w:r>
        <w:rPr>
          <w:rFonts w:hint="eastAsia"/>
          <w:highlight w:val="none"/>
        </w:rPr>
        <w:t>该负责人有权代表乙方对本项目现场施工管理及技术问题类事宜进行签字确认</w:t>
      </w:r>
      <w:r>
        <w:rPr>
          <w:rFonts w:hint="eastAsia"/>
          <w:highlight w:val="none"/>
          <w:lang w:eastAsia="zh-CN"/>
        </w:rPr>
        <w:t>；</w:t>
      </w:r>
      <w:r>
        <w:rPr>
          <w:rFonts w:hint="eastAsia"/>
          <w:highlight w:val="none"/>
          <w:lang w:val="en-US" w:eastAsia="zh-CN"/>
        </w:rPr>
        <w:t>该负责人必须为乙方正式员工，开工前乙方须提供人员在职证明材料。</w:t>
      </w:r>
    </w:p>
    <w:p w14:paraId="08615E5B">
      <w:pPr>
        <w:pStyle w:val="8"/>
        <w:numPr>
          <w:ilvl w:val="0"/>
          <w:numId w:val="1"/>
        </w:numPr>
        <w:rPr>
          <w:rFonts w:hint="default"/>
          <w:highlight w:val="none"/>
          <w:lang w:val="en-US" w:eastAsia="zh-CN"/>
        </w:rPr>
      </w:pPr>
      <w:r>
        <w:rPr>
          <w:rFonts w:hint="eastAsia"/>
          <w:highlight w:val="none"/>
        </w:rPr>
        <w:t>乙方现场指派</w:t>
      </w:r>
      <w:r>
        <w:rPr>
          <w:rFonts w:hint="eastAsia"/>
          <w:highlight w:val="none"/>
          <w:lang w:val="en-US" w:eastAsia="zh-CN"/>
        </w:rPr>
        <w:t>安全员</w:t>
      </w:r>
      <w:r>
        <w:rPr>
          <w:rFonts w:hint="eastAsia"/>
          <w:highlight w:val="none"/>
        </w:rPr>
        <w:t>：</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，电话：</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。负责本项目</w:t>
      </w:r>
      <w:r>
        <w:rPr>
          <w:rFonts w:hint="eastAsia"/>
          <w:highlight w:val="none"/>
          <w:lang w:val="en-US" w:eastAsia="zh-CN"/>
        </w:rPr>
        <w:t>现场施工安全技术</w:t>
      </w:r>
      <w:r>
        <w:rPr>
          <w:rFonts w:hint="eastAsia"/>
          <w:highlight w:val="none"/>
        </w:rPr>
        <w:t>管理</w:t>
      </w:r>
      <w:r>
        <w:rPr>
          <w:rFonts w:hint="eastAsia"/>
          <w:highlight w:val="none"/>
          <w:lang w:val="en-US" w:eastAsia="zh-CN"/>
        </w:rPr>
        <w:t>事宜，并按国家相关规定提供相关资质。</w:t>
      </w:r>
    </w:p>
    <w:p w14:paraId="5DE398DC">
      <w:pPr>
        <w:pStyle w:val="8"/>
        <w:ind w:firstLine="0" w:firstLineChars="0"/>
        <w:rPr>
          <w:b/>
        </w:rPr>
      </w:pPr>
      <w:r>
        <w:rPr>
          <w:rFonts w:hint="eastAsia" w:cs="宋体"/>
          <w:szCs w:val="24"/>
        </w:rPr>
        <w:t>第五条</w:t>
      </w:r>
      <w:r>
        <w:rPr>
          <w:rFonts w:hint="eastAsia" w:cs="宋体"/>
          <w:bCs/>
          <w:szCs w:val="24"/>
        </w:rPr>
        <w:t xml:space="preserve">  </w:t>
      </w:r>
      <w:r>
        <w:rPr>
          <w:rFonts w:hint="eastAsia" w:cs="宋体"/>
          <w:szCs w:val="24"/>
        </w:rPr>
        <w:t>违约责任</w:t>
      </w:r>
    </w:p>
    <w:p w14:paraId="74A4DE7F">
      <w:pPr>
        <w:pStyle w:val="8"/>
        <w:rPr>
          <w:b/>
        </w:rPr>
      </w:pPr>
      <w:r>
        <w:rPr>
          <w:rFonts w:hint="eastAsia" w:ascii="Times New Roman" w:hAnsi="Times New Roman"/>
          <w:bCs/>
          <w:szCs w:val="24"/>
        </w:rPr>
        <w:t xml:space="preserve">5.1 </w:t>
      </w:r>
      <w:r>
        <w:rPr>
          <w:rFonts w:hint="eastAsia"/>
        </w:rPr>
        <w:t xml:space="preserve"> 在施工过程中，工程质量出现问题的，乙方应负责整改，并承担费用。</w:t>
      </w:r>
    </w:p>
    <w:p w14:paraId="2C04EF34">
      <w:pPr>
        <w:pStyle w:val="8"/>
        <w:rPr>
          <w:b/>
        </w:rPr>
      </w:pPr>
      <w:r>
        <w:rPr>
          <w:rFonts w:hint="eastAsia" w:ascii="Times New Roman" w:hAnsi="Times New Roman"/>
          <w:bCs/>
          <w:szCs w:val="24"/>
        </w:rPr>
        <w:t>5.2</w:t>
      </w:r>
      <w:r>
        <w:rPr>
          <w:rFonts w:hint="eastAsia"/>
        </w:rPr>
        <w:t xml:space="preserve">  乙方不得将中标所承揽的项目转包、再发包、违法分包，否则甲方有权单方解除本合同，并没收乙方履约保证金，履约保证金不足以赔偿损失的，应赔偿甲方实际损失。</w:t>
      </w:r>
    </w:p>
    <w:p w14:paraId="31A3F7B4">
      <w:pPr>
        <w:pStyle w:val="8"/>
        <w:rPr>
          <w:b/>
        </w:rPr>
      </w:pPr>
      <w:r>
        <w:rPr>
          <w:rFonts w:hint="eastAsia" w:ascii="Times New Roman" w:hAnsi="Times New Roman"/>
          <w:bCs/>
          <w:szCs w:val="24"/>
        </w:rPr>
        <w:t xml:space="preserve">5.3 </w:t>
      </w:r>
      <w:r>
        <w:rPr>
          <w:rFonts w:hint="eastAsia"/>
        </w:rPr>
        <w:t xml:space="preserve"> 乙方</w:t>
      </w:r>
      <w:r>
        <w:rPr>
          <w:rFonts w:hint="eastAsia"/>
          <w:highlight w:val="none"/>
        </w:rPr>
        <w:t>应</w:t>
      </w:r>
      <w:r>
        <w:rPr>
          <w:rFonts w:hint="eastAsia"/>
          <w:highlight w:val="none"/>
          <w:lang w:val="en-US" w:eastAsia="zh-CN"/>
        </w:rPr>
        <w:t>在接到开工通知书后</w:t>
      </w:r>
      <w:r>
        <w:rPr>
          <w:rFonts w:hint="eastAsia"/>
          <w:highlight w:val="none"/>
        </w:rPr>
        <w:t>按合同约定</w:t>
      </w:r>
      <w:r>
        <w:rPr>
          <w:rFonts w:hint="eastAsia"/>
        </w:rPr>
        <w:t>内的工期完成，每拖延工期一天乙方应向甲方支付合同暂估价总价款日</w:t>
      </w:r>
      <w:r>
        <w:rPr>
          <w:rFonts w:hint="eastAsia"/>
          <w:lang w:val="en-US" w:eastAsia="zh-CN"/>
        </w:rPr>
        <w:t>千</w:t>
      </w:r>
      <w:r>
        <w:rPr>
          <w:rFonts w:hint="eastAsia"/>
        </w:rPr>
        <w:t>分之</w:t>
      </w:r>
      <w:r>
        <w:rPr>
          <w:rFonts w:hint="eastAsia"/>
          <w:lang w:val="en-US" w:eastAsia="zh-CN"/>
        </w:rPr>
        <w:t>五</w:t>
      </w:r>
      <w:r>
        <w:rPr>
          <w:rFonts w:hint="eastAsia"/>
        </w:rPr>
        <w:t>的违约金；逾期或预期逾期达30日以上的，甲方由此解除合同，乙方已经完工部分工程款按照实际造价的60%结算。</w:t>
      </w:r>
    </w:p>
    <w:p w14:paraId="337DCDEB">
      <w:pPr>
        <w:pStyle w:val="8"/>
      </w:pPr>
      <w:r>
        <w:rPr>
          <w:rFonts w:hint="eastAsia" w:ascii="Times New Roman" w:hAnsi="Times New Roman"/>
          <w:bCs/>
          <w:szCs w:val="24"/>
        </w:rPr>
        <w:t>5.4</w:t>
      </w:r>
      <w:r>
        <w:rPr>
          <w:rFonts w:hint="eastAsia"/>
        </w:rPr>
        <w:t xml:space="preserve">  乙方保证及时发放施工劳务人员工资。乙方在合同签订之日或人员变更之日起二日内将现场施工人员名单、薪资报甲方备案。如发生乙方施工劳务人员以任何方式向甲方讨薪或催讨款项的，则视为乙方严重违约，每发生一次，乙方应按合同暂估价总价1%向甲方支付违约金，超过3次的，甲方有权解除合同处理，乙方立即无条件退场。乙方已完工部分按照工程实际造价的60%结算并承担甲方由此产生的损失（包含且不限于律师费、调查取证费等）。</w:t>
      </w:r>
    </w:p>
    <w:p w14:paraId="66F8E953">
      <w:pPr>
        <w:pStyle w:val="8"/>
        <w:ind w:firstLine="0" w:firstLineChars="0"/>
        <w:rPr>
          <w:b/>
        </w:rPr>
      </w:pPr>
      <w:r>
        <w:rPr>
          <w:rFonts w:hint="eastAsia" w:cs="宋体"/>
          <w:szCs w:val="24"/>
        </w:rPr>
        <w:t>第六条  其他</w:t>
      </w:r>
    </w:p>
    <w:p w14:paraId="5A5C65E2">
      <w:pPr>
        <w:pStyle w:val="8"/>
        <w:rPr>
          <w:b/>
        </w:rPr>
      </w:pPr>
      <w:r>
        <w:rPr>
          <w:rFonts w:hint="eastAsia" w:ascii="Times New Roman" w:hAnsi="Times New Roman"/>
          <w:bCs/>
          <w:szCs w:val="24"/>
        </w:rPr>
        <w:t>6.1</w:t>
      </w:r>
      <w:r>
        <w:rPr>
          <w:rFonts w:hint="eastAsia"/>
        </w:rPr>
        <w:t xml:space="preserve">  若因停水，停电等致使乙方无法施工达</w:t>
      </w:r>
      <w:r>
        <w:rPr>
          <w:rFonts w:ascii="Times New Roman" w:hAnsi="Times New Roman"/>
        </w:rPr>
        <w:t>12</w:t>
      </w:r>
      <w:r>
        <w:rPr>
          <w:rFonts w:hint="eastAsia"/>
        </w:rPr>
        <w:t>个小时以上的情况下，经甲方确认后，乙方施工工期顺延。</w:t>
      </w:r>
    </w:p>
    <w:p w14:paraId="61D7A8E4">
      <w:pPr>
        <w:pStyle w:val="8"/>
      </w:pPr>
      <w:r>
        <w:rPr>
          <w:rFonts w:hint="eastAsia" w:ascii="Times New Roman" w:hAnsi="Times New Roman"/>
          <w:bCs/>
          <w:szCs w:val="24"/>
        </w:rPr>
        <w:t>6.2</w:t>
      </w:r>
      <w:r>
        <w:rPr>
          <w:rFonts w:hint="eastAsia"/>
        </w:rPr>
        <w:t xml:space="preserve">  本合同项下任何争议应在工程所在地人民法院起诉。</w:t>
      </w:r>
    </w:p>
    <w:p w14:paraId="3BC7AB6B">
      <w:pPr>
        <w:pStyle w:val="8"/>
        <w:ind w:firstLine="0" w:firstLineChars="0"/>
        <w:rPr>
          <w:b/>
        </w:rPr>
      </w:pPr>
      <w:r>
        <w:rPr>
          <w:rFonts w:hint="eastAsia" w:cs="宋体"/>
          <w:szCs w:val="24"/>
        </w:rPr>
        <w:t>第七条 结算方式</w:t>
      </w:r>
    </w:p>
    <w:p w14:paraId="66687AE5">
      <w:pPr>
        <w:pStyle w:val="8"/>
        <w:spacing w:line="440" w:lineRule="exact"/>
        <w:rPr>
          <w:rFonts w:hint="eastAsia" w:cs="宋体"/>
          <w:kern w:val="2"/>
          <w:szCs w:val="24"/>
        </w:rPr>
      </w:pPr>
      <w:r>
        <w:rPr>
          <w:rFonts w:hint="eastAsia" w:ascii="Times New Roman" w:hAnsi="Times New Roman"/>
          <w:bCs/>
          <w:szCs w:val="24"/>
        </w:rPr>
        <w:t xml:space="preserve">7.1 </w:t>
      </w:r>
      <w:r>
        <w:rPr>
          <w:rFonts w:hint="eastAsia" w:cs="宋体"/>
          <w:kern w:val="2"/>
          <w:szCs w:val="24"/>
        </w:rPr>
        <w:t xml:space="preserve"> 本合同为固定单价合同，如甲方要求的工程量增减，按固定单价结算。若合同无此价格，则由双方协商确定。</w:t>
      </w:r>
    </w:p>
    <w:p w14:paraId="0EE540B3">
      <w:pPr>
        <w:pStyle w:val="8"/>
        <w:spacing w:line="440" w:lineRule="exact"/>
        <w:rPr>
          <w:rFonts w:hint="default" w:eastAsia="宋体" w:cs="宋体"/>
          <w:kern w:val="2"/>
          <w:szCs w:val="24"/>
          <w:lang w:val="en-US" w:eastAsia="zh-CN"/>
        </w:rPr>
      </w:pPr>
      <w:r>
        <w:rPr>
          <w:rFonts w:hint="eastAsia" w:ascii="Times New Roman" w:hAnsi="Times New Roman"/>
          <w:bCs/>
          <w:szCs w:val="24"/>
        </w:rPr>
        <w:t>7.2</w:t>
      </w:r>
      <w:r>
        <w:rPr>
          <w:rFonts w:hint="eastAsia" w:cs="宋体"/>
          <w:kern w:val="2"/>
          <w:szCs w:val="24"/>
        </w:rPr>
        <w:t xml:space="preserve">  本工程无工程预付款。</w:t>
      </w:r>
    </w:p>
    <w:p w14:paraId="36F0D954">
      <w:pPr>
        <w:pStyle w:val="8"/>
        <w:spacing w:line="440" w:lineRule="exact"/>
        <w:rPr>
          <w:rFonts w:hint="eastAsia" w:cs="宋体"/>
          <w:kern w:val="2"/>
          <w:szCs w:val="24"/>
        </w:rPr>
      </w:pPr>
      <w:r>
        <w:rPr>
          <w:rFonts w:hint="eastAsia" w:ascii="Times New Roman" w:hAnsi="Times New Roman"/>
          <w:bCs/>
          <w:szCs w:val="24"/>
          <w:lang w:val="en-US" w:eastAsia="zh-CN"/>
        </w:rPr>
        <w:t>7.3    项目</w:t>
      </w:r>
      <w:r>
        <w:rPr>
          <w:rFonts w:hint="eastAsia" w:cs="宋体"/>
          <w:kern w:val="2"/>
          <w:szCs w:val="24"/>
        </w:rPr>
        <w:t>质保期</w:t>
      </w:r>
      <w:r>
        <w:rPr>
          <w:rFonts w:hint="eastAsia" w:cs="宋体"/>
          <w:kern w:val="2"/>
          <w:szCs w:val="24"/>
          <w:lang w:val="en-US" w:eastAsia="zh-CN"/>
        </w:rPr>
        <w:t>365</w:t>
      </w:r>
      <w:r>
        <w:rPr>
          <w:rFonts w:hint="eastAsia" w:cs="宋体"/>
          <w:kern w:val="2"/>
          <w:szCs w:val="24"/>
        </w:rPr>
        <w:t>天，质保金结算价的</w:t>
      </w:r>
      <w:r>
        <w:rPr>
          <w:rFonts w:ascii="Times New Roman" w:hAnsi="Times New Roman"/>
          <w:kern w:val="2"/>
          <w:szCs w:val="24"/>
        </w:rPr>
        <w:t>3%</w:t>
      </w:r>
      <w:r>
        <w:rPr>
          <w:rFonts w:hint="eastAsia" w:cs="宋体"/>
          <w:kern w:val="2"/>
          <w:szCs w:val="24"/>
        </w:rPr>
        <w:t>。</w:t>
      </w:r>
    </w:p>
    <w:p w14:paraId="04981EAA">
      <w:pPr>
        <w:pStyle w:val="8"/>
        <w:spacing w:line="440" w:lineRule="exact"/>
        <w:rPr>
          <w:rFonts w:hint="eastAsia" w:ascii="Times New Roman" w:hAnsi="Times New Roman"/>
          <w:bCs/>
          <w:szCs w:val="24"/>
          <w:lang w:val="en-US" w:eastAsia="zh-CN"/>
        </w:rPr>
      </w:pPr>
      <w:r>
        <w:rPr>
          <w:rFonts w:hint="eastAsia" w:ascii="Times New Roman" w:hAnsi="Times New Roman"/>
          <w:bCs/>
          <w:szCs w:val="24"/>
          <w:lang w:val="en-US" w:eastAsia="zh-CN"/>
        </w:rPr>
        <w:t>7.3.1 质保期内维保响应时间不超过24小时，其中安装工程维保响应时间不超过8小时。</w:t>
      </w:r>
    </w:p>
    <w:p w14:paraId="1047CFA5">
      <w:pPr>
        <w:pStyle w:val="8"/>
        <w:spacing w:line="440" w:lineRule="exact"/>
        <w:rPr>
          <w:rFonts w:hint="eastAsia" w:ascii="Times New Roman" w:hAnsi="Times New Roman"/>
          <w:bCs/>
          <w:szCs w:val="24"/>
          <w:lang w:val="en-US" w:eastAsia="zh-CN"/>
        </w:rPr>
      </w:pPr>
      <w:r>
        <w:rPr>
          <w:rFonts w:hint="eastAsia" w:ascii="Times New Roman" w:hAnsi="Times New Roman"/>
          <w:bCs/>
          <w:szCs w:val="24"/>
          <w:lang w:val="en-US" w:eastAsia="zh-CN"/>
        </w:rPr>
        <w:t>7.3.2 质保期内因故障影响医院业务正常开展时，维保响应时间不超过半小时。</w:t>
      </w:r>
    </w:p>
    <w:p w14:paraId="0DCAE7A1">
      <w:pPr>
        <w:pStyle w:val="8"/>
        <w:spacing w:line="440" w:lineRule="exact"/>
        <w:rPr>
          <w:rFonts w:hint="default" w:ascii="Times New Roman" w:hAnsi="Times New Roman"/>
          <w:bCs/>
          <w:szCs w:val="24"/>
          <w:lang w:val="en-US" w:eastAsia="zh-CN"/>
        </w:rPr>
      </w:pPr>
      <w:r>
        <w:rPr>
          <w:rFonts w:hint="eastAsia" w:ascii="Times New Roman" w:hAnsi="Times New Roman"/>
          <w:bCs/>
          <w:szCs w:val="24"/>
          <w:lang w:val="en-US" w:eastAsia="zh-CN"/>
        </w:rPr>
        <w:t>7.3.3 质保期内不能按7.3.1、7.3.2要求及时响应，甲方有权自行处理，所产生费用由乙方承担；费用根据实际产生金额进行结算。</w:t>
      </w:r>
    </w:p>
    <w:p w14:paraId="33A2D2CE">
      <w:pPr>
        <w:pStyle w:val="8"/>
        <w:spacing w:line="440" w:lineRule="exact"/>
        <w:rPr>
          <w:rFonts w:cs="宋体"/>
          <w:kern w:val="2"/>
          <w:szCs w:val="24"/>
        </w:rPr>
      </w:pPr>
      <w:r>
        <w:rPr>
          <w:rFonts w:hint="eastAsia" w:ascii="Times New Roman" w:hAnsi="Times New Roman"/>
          <w:bCs/>
          <w:szCs w:val="24"/>
        </w:rPr>
        <w:t>7.</w:t>
      </w:r>
      <w:r>
        <w:rPr>
          <w:rFonts w:hint="eastAsia" w:ascii="Times New Roman" w:hAnsi="Times New Roman"/>
          <w:bCs/>
          <w:szCs w:val="24"/>
          <w:lang w:val="en-US" w:eastAsia="zh-CN"/>
        </w:rPr>
        <w:t>3</w:t>
      </w:r>
      <w:r>
        <w:rPr>
          <w:rFonts w:hint="eastAsia" w:cs="宋体"/>
          <w:kern w:val="2"/>
          <w:szCs w:val="24"/>
        </w:rPr>
        <w:t xml:space="preserve">  </w:t>
      </w:r>
      <w:r>
        <w:rPr>
          <w:rFonts w:hint="eastAsia" w:cs="宋体"/>
          <w:snapToGrid w:val="0"/>
          <w:color w:val="000000"/>
          <w:szCs w:val="24"/>
        </w:rPr>
        <w:t>农民工工资保证金、安全保证金等按有关规定执行。</w:t>
      </w:r>
    </w:p>
    <w:p w14:paraId="48D5D8C9">
      <w:pPr>
        <w:pStyle w:val="8"/>
        <w:spacing w:line="440" w:lineRule="exact"/>
        <w:ind w:left="480" w:leftChars="218" w:firstLine="0" w:firstLineChars="0"/>
        <w:rPr>
          <w:rFonts w:hint="eastAsia" w:eastAsia="宋体" w:cs="宋体"/>
          <w:kern w:val="2"/>
          <w:szCs w:val="24"/>
          <w:highlight w:val="none"/>
          <w:lang w:eastAsia="zh-CN"/>
        </w:rPr>
      </w:pPr>
      <w:r>
        <w:rPr>
          <w:rFonts w:hint="eastAsia" w:ascii="Times New Roman" w:hAnsi="Times New Roman"/>
          <w:bCs/>
          <w:szCs w:val="24"/>
        </w:rPr>
        <w:t>7.</w:t>
      </w:r>
      <w:r>
        <w:rPr>
          <w:rFonts w:hint="eastAsia" w:ascii="Times New Roman" w:hAnsi="Times New Roman"/>
          <w:bCs/>
          <w:szCs w:val="24"/>
          <w:lang w:val="en-US" w:eastAsia="zh-CN"/>
        </w:rPr>
        <w:t>4</w:t>
      </w:r>
      <w:r>
        <w:rPr>
          <w:rFonts w:hint="eastAsia" w:cs="宋体"/>
          <w:kern w:val="2"/>
          <w:szCs w:val="24"/>
          <w:highlight w:val="none"/>
        </w:rPr>
        <w:t xml:space="preserve">  </w:t>
      </w:r>
      <w:r>
        <w:rPr>
          <w:rFonts w:hint="eastAsia" w:cs="宋体"/>
          <w:kern w:val="2"/>
          <w:szCs w:val="24"/>
          <w:highlight w:val="none"/>
          <w:lang w:val="en-US" w:eastAsia="zh-CN"/>
        </w:rPr>
        <w:t>项目</w:t>
      </w:r>
      <w:r>
        <w:rPr>
          <w:rFonts w:hint="eastAsia"/>
          <w:highlight w:val="none"/>
        </w:rPr>
        <w:t>主要设备及材料进场后拨付合同</w:t>
      </w:r>
      <w:r>
        <w:rPr>
          <w:rFonts w:hint="eastAsia"/>
          <w:highlight w:val="none"/>
          <w:lang w:val="en-US" w:eastAsia="zh-CN"/>
        </w:rPr>
        <w:t>暂估</w:t>
      </w:r>
      <w:r>
        <w:rPr>
          <w:rFonts w:hint="eastAsia"/>
          <w:highlight w:val="none"/>
        </w:rPr>
        <w:t>总价的30%；竣工验收合格</w:t>
      </w:r>
      <w:r>
        <w:rPr>
          <w:rFonts w:hint="eastAsia"/>
          <w:highlight w:val="none"/>
          <w:lang w:val="en-US" w:eastAsia="zh-CN"/>
        </w:rPr>
        <w:t>并</w:t>
      </w:r>
      <w:r>
        <w:rPr>
          <w:rFonts w:hint="eastAsia" w:cs="宋体"/>
          <w:kern w:val="2"/>
          <w:szCs w:val="24"/>
          <w:highlight w:val="none"/>
        </w:rPr>
        <w:t>完善相关验收资料后</w:t>
      </w:r>
      <w:r>
        <w:rPr>
          <w:rFonts w:hint="eastAsia"/>
          <w:highlight w:val="none"/>
        </w:rPr>
        <w:t>后，拨付合同暂估总价的40</w:t>
      </w:r>
      <w:bookmarkStart w:id="0" w:name="_GoBack"/>
      <w:bookmarkEnd w:id="0"/>
      <w:r>
        <w:rPr>
          <w:rFonts w:hint="eastAsia"/>
          <w:highlight w:val="none"/>
        </w:rPr>
        <w:t>%；</w:t>
      </w:r>
      <w:r>
        <w:rPr>
          <w:rFonts w:hint="eastAsia"/>
        </w:rPr>
        <w:t>完成竣工结算审计后拨付</w:t>
      </w:r>
      <w:r>
        <w:rPr>
          <w:rFonts w:hint="eastAsia"/>
          <w:lang w:val="en-US" w:eastAsia="zh-CN"/>
        </w:rPr>
        <w:t>至结算审核总价的9</w:t>
      </w:r>
      <w:r>
        <w:rPr>
          <w:rFonts w:hint="eastAsia"/>
        </w:rPr>
        <w:t>7%；</w:t>
      </w:r>
      <w:r>
        <w:rPr>
          <w:rFonts w:hint="eastAsia"/>
          <w:lang w:val="en-US" w:eastAsia="zh-CN"/>
        </w:rPr>
        <w:t>结算审核</w:t>
      </w:r>
      <w:r>
        <w:rPr>
          <w:rFonts w:hint="eastAsia"/>
        </w:rPr>
        <w:t>总价3％为质保金。</w:t>
      </w:r>
      <w:r>
        <w:rPr>
          <w:rFonts w:hint="eastAsia"/>
          <w:highlight w:val="none"/>
        </w:rPr>
        <w:t>质保金从竣工验收合格之日起</w:t>
      </w:r>
      <w:r>
        <w:rPr>
          <w:rFonts w:hint="eastAsia"/>
          <w:highlight w:val="none"/>
          <w:lang w:val="en-US" w:eastAsia="zh-CN"/>
        </w:rPr>
        <w:t>365</w:t>
      </w:r>
      <w:r>
        <w:rPr>
          <w:rFonts w:hint="eastAsia"/>
          <w:highlight w:val="none"/>
        </w:rPr>
        <w:t>日历天后支付。</w:t>
      </w:r>
      <w:r>
        <w:rPr>
          <w:rFonts w:hint="eastAsia"/>
          <w:highlight w:val="none"/>
          <w:lang w:val="en-US" w:eastAsia="zh-CN"/>
        </w:rPr>
        <w:t>拨付款项前</w:t>
      </w:r>
      <w:r>
        <w:rPr>
          <w:rFonts w:hint="eastAsia" w:cs="宋体"/>
          <w:szCs w:val="24"/>
          <w:highlight w:val="none"/>
        </w:rPr>
        <w:t>乙方向甲方提出书面付款申请及相关资料</w:t>
      </w:r>
      <w:r>
        <w:rPr>
          <w:rFonts w:hint="eastAsia" w:cs="宋体"/>
          <w:b/>
          <w:bCs/>
          <w:szCs w:val="24"/>
          <w:highlight w:val="none"/>
        </w:rPr>
        <w:t>（1. 付款申请书；2. 合同总价等额的增值税发票；3. 本项目的合同复印件； 4. 项目验收单）</w:t>
      </w:r>
      <w:r>
        <w:rPr>
          <w:rFonts w:hint="eastAsia" w:cs="宋体"/>
          <w:szCs w:val="24"/>
          <w:highlight w:val="none"/>
        </w:rPr>
        <w:t>，乙方未能如期派人进行核对，其责任由乙方负责。乙方如延期报送，本次工程款的支付时间亦相应顺延。</w:t>
      </w:r>
      <w:r>
        <w:rPr>
          <w:rFonts w:hint="eastAsia"/>
          <w:highlight w:val="none"/>
          <w:lang w:eastAsia="zh-CN"/>
        </w:rPr>
        <w:t>）</w:t>
      </w:r>
    </w:p>
    <w:p w14:paraId="46C8325E">
      <w:pPr>
        <w:pStyle w:val="8"/>
        <w:spacing w:line="440" w:lineRule="exact"/>
        <w:rPr>
          <w:rFonts w:cs="宋体"/>
          <w:kern w:val="2"/>
          <w:szCs w:val="24"/>
        </w:rPr>
      </w:pPr>
      <w:r>
        <w:rPr>
          <w:rFonts w:hint="eastAsia" w:ascii="Times New Roman" w:hAnsi="Times New Roman"/>
          <w:bCs/>
          <w:szCs w:val="24"/>
        </w:rPr>
        <w:t>7.5</w:t>
      </w:r>
      <w:r>
        <w:rPr>
          <w:rFonts w:hint="eastAsia" w:cs="宋体"/>
          <w:kern w:val="2"/>
          <w:szCs w:val="24"/>
        </w:rPr>
        <w:t xml:space="preserve">  开票信息</w:t>
      </w:r>
    </w:p>
    <w:p w14:paraId="0C6B5670">
      <w:pPr>
        <w:pStyle w:val="8"/>
        <w:spacing w:line="440" w:lineRule="exact"/>
        <w:rPr>
          <w:rFonts w:cs="宋体"/>
          <w:kern w:val="2"/>
          <w:szCs w:val="24"/>
        </w:rPr>
      </w:pPr>
      <w:r>
        <w:rPr>
          <w:rFonts w:hint="eastAsia" w:cs="宋体"/>
          <w:kern w:val="2"/>
          <w:szCs w:val="24"/>
        </w:rPr>
        <w:t>单</w:t>
      </w:r>
      <w:r>
        <w:rPr>
          <w:rFonts w:hint="eastAsia" w:cs="宋体"/>
          <w:kern w:val="2"/>
          <w:szCs w:val="24"/>
          <w:lang w:val="en-US" w:eastAsia="zh-CN"/>
        </w:rPr>
        <w:t xml:space="preserve"> </w:t>
      </w:r>
      <w:r>
        <w:rPr>
          <w:rFonts w:hint="eastAsia" w:cs="宋体"/>
          <w:kern w:val="2"/>
          <w:szCs w:val="24"/>
        </w:rPr>
        <w:t>位</w:t>
      </w:r>
      <w:r>
        <w:rPr>
          <w:rFonts w:hint="eastAsia" w:cs="宋体"/>
          <w:kern w:val="2"/>
          <w:szCs w:val="24"/>
          <w:lang w:val="en-US" w:eastAsia="zh-CN"/>
        </w:rPr>
        <w:t xml:space="preserve"> </w:t>
      </w:r>
      <w:r>
        <w:rPr>
          <w:rFonts w:hint="eastAsia" w:cs="宋体"/>
          <w:kern w:val="2"/>
          <w:szCs w:val="24"/>
        </w:rPr>
        <w:t>名</w:t>
      </w:r>
      <w:r>
        <w:rPr>
          <w:rFonts w:hint="eastAsia" w:cs="宋体"/>
          <w:kern w:val="2"/>
          <w:szCs w:val="24"/>
          <w:lang w:val="en-US" w:eastAsia="zh-CN"/>
        </w:rPr>
        <w:t xml:space="preserve"> </w:t>
      </w:r>
      <w:r>
        <w:rPr>
          <w:rFonts w:hint="eastAsia" w:cs="宋体"/>
          <w:kern w:val="2"/>
          <w:szCs w:val="24"/>
        </w:rPr>
        <w:t>称：  广安市人民医院/四川大学华西医院广安医院</w:t>
      </w:r>
    </w:p>
    <w:p w14:paraId="1A4257CC">
      <w:pPr>
        <w:pStyle w:val="8"/>
        <w:spacing w:line="440" w:lineRule="exact"/>
        <w:rPr>
          <w:rFonts w:cs="宋体"/>
          <w:kern w:val="2"/>
          <w:szCs w:val="24"/>
        </w:rPr>
      </w:pPr>
      <w:r>
        <w:rPr>
          <w:rFonts w:hint="eastAsia" w:cs="宋体"/>
          <w:kern w:val="2"/>
          <w:szCs w:val="24"/>
        </w:rPr>
        <w:t>纳税人识别号：  5116011458612033</w:t>
      </w:r>
    </w:p>
    <w:p w14:paraId="2469352E">
      <w:pPr>
        <w:pStyle w:val="8"/>
        <w:spacing w:line="440" w:lineRule="exact"/>
        <w:rPr>
          <w:rFonts w:hint="eastAsia" w:eastAsia="宋体" w:cs="宋体"/>
          <w:kern w:val="2"/>
          <w:szCs w:val="24"/>
          <w:lang w:val="en-US" w:eastAsia="zh-CN"/>
        </w:rPr>
      </w:pPr>
      <w:r>
        <w:rPr>
          <w:rFonts w:hint="eastAsia" w:cs="宋体"/>
          <w:kern w:val="2"/>
          <w:szCs w:val="24"/>
        </w:rPr>
        <w:t>社会信用代码：  12511300458612033M</w:t>
      </w:r>
      <w:r>
        <w:rPr>
          <w:rFonts w:hint="eastAsia" w:cs="宋体"/>
          <w:kern w:val="2"/>
          <w:szCs w:val="24"/>
          <w:lang w:val="en-US" w:eastAsia="zh-CN"/>
        </w:rPr>
        <w:t xml:space="preserve"> </w:t>
      </w:r>
    </w:p>
    <w:p w14:paraId="50CEB794">
      <w:pPr>
        <w:pStyle w:val="8"/>
        <w:spacing w:line="440" w:lineRule="exact"/>
        <w:rPr>
          <w:rFonts w:cs="宋体"/>
          <w:kern w:val="2"/>
          <w:szCs w:val="24"/>
        </w:rPr>
      </w:pPr>
      <w:r>
        <w:rPr>
          <w:rFonts w:hint="eastAsia" w:cs="宋体"/>
          <w:kern w:val="2"/>
          <w:szCs w:val="24"/>
        </w:rPr>
        <w:t>联   系   方  式：  四川省广安市广安区滨河路四段一号   0826-2222448</w:t>
      </w:r>
    </w:p>
    <w:p w14:paraId="720B2695">
      <w:pPr>
        <w:pStyle w:val="8"/>
        <w:spacing w:line="440" w:lineRule="exact"/>
        <w:rPr>
          <w:rFonts w:cs="宋体"/>
          <w:kern w:val="2"/>
          <w:szCs w:val="24"/>
        </w:rPr>
      </w:pPr>
      <w:r>
        <w:rPr>
          <w:rFonts w:hint="eastAsia" w:cs="宋体"/>
          <w:kern w:val="2"/>
          <w:szCs w:val="24"/>
        </w:rPr>
        <w:t xml:space="preserve">开户行及账号：  工行广安分行营业部    2316 5521 0920 1022 514  </w:t>
      </w:r>
    </w:p>
    <w:p w14:paraId="003B8CE9">
      <w:pPr>
        <w:pStyle w:val="8"/>
        <w:spacing w:line="440" w:lineRule="exact"/>
        <w:ind w:firstLine="0" w:firstLineChars="0"/>
        <w:rPr>
          <w:rFonts w:cs="宋体"/>
          <w:kern w:val="2"/>
          <w:szCs w:val="24"/>
        </w:rPr>
      </w:pPr>
      <w:r>
        <w:rPr>
          <w:rFonts w:hint="eastAsia" w:cs="宋体"/>
          <w:szCs w:val="24"/>
        </w:rPr>
        <w:t>第八条  合同生效及其它</w:t>
      </w:r>
    </w:p>
    <w:p w14:paraId="3FCDCB02">
      <w:pPr>
        <w:pStyle w:val="8"/>
      </w:pPr>
      <w:r>
        <w:rPr>
          <w:rFonts w:hint="eastAsia" w:ascii="Times New Roman" w:hAnsi="Times New Roman"/>
          <w:bCs/>
          <w:szCs w:val="24"/>
        </w:rPr>
        <w:t>8.1</w:t>
      </w:r>
      <w:r>
        <w:rPr>
          <w:rFonts w:hint="eastAsia"/>
        </w:rPr>
        <w:t xml:space="preserve">  本合同所有条款内容甲乙双方均完全理解并知道其真实意思。本合同自双方法定代表人或委托代理人签字并加盖公章（或合同专用章）之日起生效，合同执行期内，甲乙双方均不得随意变更或解除合同。合同如有未尽事宜，须经双方共同协商并签订补充合同，补充合同与合同具有同等法律效力。</w:t>
      </w:r>
    </w:p>
    <w:p w14:paraId="44327FEC">
      <w:pPr>
        <w:pStyle w:val="8"/>
        <w:rPr>
          <w:rFonts w:hint="default" w:eastAsia="宋体"/>
          <w:lang w:val="en-US" w:eastAsia="zh-CN"/>
        </w:rPr>
      </w:pPr>
      <w:r>
        <w:rPr>
          <w:rFonts w:hint="eastAsia" w:ascii="Times New Roman" w:hAnsi="Times New Roman"/>
          <w:bCs/>
          <w:szCs w:val="24"/>
        </w:rPr>
        <w:t>8.2</w:t>
      </w:r>
      <w:r>
        <w:rPr>
          <w:rFonts w:hint="eastAsia"/>
        </w:rPr>
        <w:t xml:space="preserve">  本合同一式</w:t>
      </w:r>
      <w:r>
        <w:rPr>
          <w:rFonts w:hint="eastAsia"/>
          <w:u w:val="single"/>
        </w:rPr>
        <w:t xml:space="preserve">  </w:t>
      </w:r>
      <w:r>
        <w:rPr>
          <w:u w:val="single"/>
        </w:rPr>
        <w:t xml:space="preserve"> </w:t>
      </w:r>
      <w:r>
        <w:rPr>
          <w:rFonts w:hint="eastAsia"/>
          <w:u w:val="single"/>
        </w:rPr>
        <w:t xml:space="preserve">伍 </w:t>
      </w:r>
      <w:r>
        <w:rPr>
          <w:rFonts w:hint="eastAsia"/>
        </w:rPr>
        <w:t>份，甲方执</w:t>
      </w:r>
      <w:r>
        <w:rPr>
          <w:rFonts w:hint="eastAsia"/>
          <w:u w:val="single"/>
        </w:rPr>
        <w:t xml:space="preserve">  </w:t>
      </w:r>
      <w:r>
        <w:rPr>
          <w:u w:val="single"/>
        </w:rPr>
        <w:t>肆</w:t>
      </w:r>
      <w:r>
        <w:rPr>
          <w:rFonts w:hint="eastAsia"/>
          <w:u w:val="single"/>
        </w:rPr>
        <w:t xml:space="preserve">   </w:t>
      </w:r>
      <w:r>
        <w:rPr>
          <w:rFonts w:hint="eastAsia"/>
        </w:rPr>
        <w:t>份，乙方执</w:t>
      </w:r>
      <w:r>
        <w:rPr>
          <w:rFonts w:hint="eastAsia"/>
          <w:u w:val="single"/>
        </w:rPr>
        <w:t xml:space="preserve">  壹 </w:t>
      </w:r>
      <w:r>
        <w:rPr>
          <w:rFonts w:hint="eastAsia"/>
        </w:rPr>
        <w:t>份 ，均具同等法律效力。</w:t>
      </w:r>
      <w:r>
        <w:rPr>
          <w:rFonts w:hint="eastAsia"/>
          <w:lang w:val="en-US" w:eastAsia="zh-CN"/>
        </w:rPr>
        <w:t xml:space="preserve">   </w:t>
      </w:r>
    </w:p>
    <w:p w14:paraId="11C8157B">
      <w:pPr>
        <w:pStyle w:val="8"/>
      </w:pPr>
      <w:r>
        <w:rPr>
          <w:rFonts w:hint="eastAsia"/>
          <w:lang w:val="zh-CN"/>
        </w:rPr>
        <w:t>（</w:t>
      </w:r>
      <w:r>
        <w:rPr>
          <w:rFonts w:hint="eastAsia"/>
        </w:rPr>
        <w:t>以下无正文</w:t>
      </w:r>
      <w:r>
        <w:rPr>
          <w:rFonts w:hint="eastAsia"/>
          <w:lang w:val="zh-CN"/>
        </w:rPr>
        <w:t>）</w:t>
      </w:r>
    </w:p>
    <w:p w14:paraId="2495A62B">
      <w:pPr>
        <w:spacing w:line="440" w:lineRule="exact"/>
        <w:jc w:val="both"/>
        <w:rPr>
          <w:rFonts w:ascii="宋体" w:hAnsi="宋体" w:eastAsia="宋体" w:cs="宋体"/>
          <w:sz w:val="24"/>
          <w:szCs w:val="24"/>
          <w:lang w:val="zh-CN"/>
        </w:rPr>
      </w:pPr>
    </w:p>
    <w:p w14:paraId="1677B75F">
      <w:pPr>
        <w:spacing w:line="440" w:lineRule="exact"/>
        <w:jc w:val="both"/>
        <w:rPr>
          <w:rFonts w:ascii="宋体" w:hAnsi="宋体" w:eastAsia="宋体" w:cs="宋体"/>
          <w:sz w:val="24"/>
          <w:szCs w:val="24"/>
          <w:lang w:val="zh-CN"/>
        </w:rPr>
      </w:pPr>
    </w:p>
    <w:p w14:paraId="3152B2A6">
      <w:pPr>
        <w:spacing w:line="440" w:lineRule="exact"/>
        <w:jc w:val="both"/>
        <w:rPr>
          <w:rFonts w:ascii="宋体" w:hAnsi="宋体" w:eastAsia="宋体" w:cs="宋体"/>
          <w:sz w:val="24"/>
          <w:szCs w:val="24"/>
          <w:lang w:val="zh-CN"/>
        </w:rPr>
      </w:pPr>
    </w:p>
    <w:tbl>
      <w:tblPr>
        <w:tblStyle w:val="10"/>
        <w:tblW w:w="9498" w:type="dxa"/>
        <w:jc w:val="center"/>
        <w:tblLayout w:type="autofit"/>
        <w:tblCellMar>
          <w:top w:w="0" w:type="dxa"/>
          <w:left w:w="108" w:type="dxa"/>
          <w:bottom w:w="0" w:type="dxa"/>
          <w:right w:w="108" w:type="dxa"/>
        </w:tblCellMar>
      </w:tblPr>
      <w:tblGrid>
        <w:gridCol w:w="4829"/>
        <w:gridCol w:w="4669"/>
      </w:tblGrid>
      <w:tr w14:paraId="4F1D0772">
        <w:tblPrEx>
          <w:tblCellMar>
            <w:top w:w="0" w:type="dxa"/>
            <w:left w:w="108" w:type="dxa"/>
            <w:bottom w:w="0" w:type="dxa"/>
            <w:right w:w="108" w:type="dxa"/>
          </w:tblCellMar>
        </w:tblPrEx>
        <w:trPr>
          <w:trHeight w:val="712" w:hRule="atLeast"/>
          <w:jc w:val="center"/>
        </w:trPr>
        <w:tc>
          <w:tcPr>
            <w:tcW w:w="4829" w:type="dxa"/>
            <w:shd w:val="clear" w:color="auto" w:fill="auto"/>
            <w:vAlign w:val="center"/>
          </w:tcPr>
          <w:p w14:paraId="7C199439">
            <w:pPr>
              <w:spacing w:line="400" w:lineRule="exact"/>
              <w:ind w:left="660" w:hanging="660" w:hangingChars="300"/>
              <w:rPr>
                <w:rFonts w:asciiTheme="minorEastAsia" w:hAnsiTheme="minorEastAsia" w:eastAsiaTheme="minorEastAsia" w:cstheme="minorEastAsia"/>
                <w:bCs/>
                <w:sz w:val="24"/>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bCs/>
                <w:sz w:val="24"/>
              </w:rPr>
              <w:t>甲方：广安市人民医院/四川大学华西医院广安医院（章）</w:t>
            </w:r>
          </w:p>
        </w:tc>
        <w:tc>
          <w:tcPr>
            <w:tcW w:w="4669" w:type="dxa"/>
            <w:shd w:val="clear" w:color="auto" w:fill="auto"/>
          </w:tcPr>
          <w:p w14:paraId="002D6C5B">
            <w:pPr>
              <w:spacing w:line="400" w:lineRule="exact"/>
              <w:ind w:left="720" w:hanging="720" w:hangingChars="300"/>
              <w:jc w:val="both"/>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乙方：</w:t>
            </w:r>
            <w:r>
              <w:rPr>
                <w:rFonts w:asciiTheme="minorEastAsia" w:hAnsiTheme="minorEastAsia" w:eastAsiaTheme="minorEastAsia" w:cstheme="minorEastAsia"/>
                <w:bCs/>
                <w:sz w:val="24"/>
              </w:rPr>
              <w:t xml:space="preserve"> </w:t>
            </w:r>
          </w:p>
        </w:tc>
      </w:tr>
      <w:tr w14:paraId="594DD3F1">
        <w:tblPrEx>
          <w:tblCellMar>
            <w:top w:w="0" w:type="dxa"/>
            <w:left w:w="108" w:type="dxa"/>
            <w:bottom w:w="0" w:type="dxa"/>
            <w:right w:w="108" w:type="dxa"/>
          </w:tblCellMar>
        </w:tblPrEx>
        <w:trPr>
          <w:trHeight w:val="603" w:hRule="atLeast"/>
          <w:jc w:val="center"/>
        </w:trPr>
        <w:tc>
          <w:tcPr>
            <w:tcW w:w="4829" w:type="dxa"/>
            <w:shd w:val="clear" w:color="auto" w:fill="auto"/>
            <w:vAlign w:val="center"/>
          </w:tcPr>
          <w:p w14:paraId="7A1A441F">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法定代表人（授权代表）：</w:t>
            </w:r>
          </w:p>
        </w:tc>
        <w:tc>
          <w:tcPr>
            <w:tcW w:w="4669" w:type="dxa"/>
            <w:shd w:val="clear" w:color="auto" w:fill="auto"/>
            <w:vAlign w:val="center"/>
          </w:tcPr>
          <w:p w14:paraId="340F225E">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法定代表人（授权代表）：</w:t>
            </w:r>
          </w:p>
        </w:tc>
      </w:tr>
      <w:tr w14:paraId="0D097474">
        <w:tblPrEx>
          <w:tblCellMar>
            <w:top w:w="0" w:type="dxa"/>
            <w:left w:w="108" w:type="dxa"/>
            <w:bottom w:w="0" w:type="dxa"/>
            <w:right w:w="108" w:type="dxa"/>
          </w:tblCellMar>
        </w:tblPrEx>
        <w:trPr>
          <w:trHeight w:val="73" w:hRule="atLeast"/>
          <w:jc w:val="center"/>
        </w:trPr>
        <w:tc>
          <w:tcPr>
            <w:tcW w:w="4829" w:type="dxa"/>
            <w:shd w:val="clear" w:color="auto" w:fill="auto"/>
          </w:tcPr>
          <w:p w14:paraId="45EF15FE">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地    址：广安市广安区滨河路四段一号</w:t>
            </w:r>
          </w:p>
        </w:tc>
        <w:tc>
          <w:tcPr>
            <w:tcW w:w="4669" w:type="dxa"/>
            <w:shd w:val="clear" w:color="auto" w:fill="auto"/>
          </w:tcPr>
          <w:p w14:paraId="4A5A1AEE">
            <w:pPr>
              <w:spacing w:line="400" w:lineRule="exact"/>
              <w:ind w:left="1200" w:hanging="1200" w:hangingChars="500"/>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地    址： </w:t>
            </w:r>
            <w:r>
              <w:rPr>
                <w:rFonts w:asciiTheme="minorEastAsia" w:hAnsiTheme="minorEastAsia" w:eastAsiaTheme="minorEastAsia" w:cstheme="minorEastAsia"/>
                <w:bCs/>
                <w:sz w:val="24"/>
              </w:rPr>
              <w:t xml:space="preserve"> </w:t>
            </w:r>
          </w:p>
        </w:tc>
      </w:tr>
      <w:tr w14:paraId="7D52F01A">
        <w:tblPrEx>
          <w:tblCellMar>
            <w:top w:w="0" w:type="dxa"/>
            <w:left w:w="108" w:type="dxa"/>
            <w:bottom w:w="0" w:type="dxa"/>
            <w:right w:w="108" w:type="dxa"/>
          </w:tblCellMar>
        </w:tblPrEx>
        <w:trPr>
          <w:trHeight w:val="736" w:hRule="atLeast"/>
          <w:jc w:val="center"/>
        </w:trPr>
        <w:tc>
          <w:tcPr>
            <w:tcW w:w="4829" w:type="dxa"/>
            <w:shd w:val="clear" w:color="auto" w:fill="auto"/>
          </w:tcPr>
          <w:p w14:paraId="17BB749C">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开户银行</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中国工商银行广安市分行营业部</w:t>
            </w:r>
          </w:p>
        </w:tc>
        <w:tc>
          <w:tcPr>
            <w:tcW w:w="4669" w:type="dxa"/>
            <w:shd w:val="clear" w:color="auto" w:fill="auto"/>
          </w:tcPr>
          <w:p w14:paraId="34DC7928">
            <w:pPr>
              <w:spacing w:line="400" w:lineRule="exact"/>
              <w:ind w:left="1200" w:hanging="1200" w:hangingChars="500"/>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sz w:val="24"/>
              </w:rPr>
              <w:t>开户银行：</w:t>
            </w:r>
          </w:p>
        </w:tc>
      </w:tr>
      <w:tr w14:paraId="50124D35">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14:paraId="2408739A">
            <w:pPr>
              <w:spacing w:line="400" w:lineRule="exact"/>
              <w:rPr>
                <w:rFonts w:asciiTheme="minorEastAsia" w:hAnsiTheme="minorEastAsia" w:eastAsiaTheme="minorEastAsia" w:cstheme="minorEastAsia"/>
              </w:rPr>
            </w:pPr>
            <w:r>
              <w:rPr>
                <w:rFonts w:hint="eastAsia" w:asciiTheme="minorEastAsia" w:hAnsiTheme="minorEastAsia" w:eastAsiaTheme="minorEastAsia" w:cstheme="minorEastAsia"/>
                <w:sz w:val="24"/>
              </w:rPr>
              <w:t>账    号：2316552109201022514</w:t>
            </w:r>
          </w:p>
        </w:tc>
        <w:tc>
          <w:tcPr>
            <w:tcW w:w="4669" w:type="dxa"/>
            <w:shd w:val="clear" w:color="auto" w:fill="auto"/>
            <w:vAlign w:val="center"/>
          </w:tcPr>
          <w:p w14:paraId="62A427F4">
            <w:pPr>
              <w:spacing w:line="40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sz w:val="24"/>
              </w:rPr>
              <w:t>账    号：</w:t>
            </w:r>
          </w:p>
        </w:tc>
      </w:tr>
      <w:tr w14:paraId="4F264D3E">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14:paraId="1297EC70">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纳税人识别号:</w:t>
            </w:r>
            <w:r>
              <w:rPr>
                <w:rFonts w:hint="eastAsia" w:ascii="宋体" w:hAnsi="宋体" w:eastAsia="宋体" w:cs="宋体"/>
                <w:kern w:val="2"/>
                <w:sz w:val="24"/>
                <w:szCs w:val="24"/>
              </w:rPr>
              <w:t xml:space="preserve"> </w:t>
            </w:r>
            <w:r>
              <w:rPr>
                <w:rFonts w:hint="eastAsia" w:asciiTheme="minorEastAsia" w:hAnsiTheme="minorEastAsia" w:eastAsiaTheme="minorEastAsia"/>
                <w:kern w:val="2"/>
              </w:rPr>
              <w:t>12511300458612033M</w:t>
            </w:r>
          </w:p>
        </w:tc>
        <w:tc>
          <w:tcPr>
            <w:tcW w:w="4669" w:type="dxa"/>
            <w:shd w:val="clear" w:color="auto" w:fill="auto"/>
            <w:vAlign w:val="center"/>
          </w:tcPr>
          <w:p w14:paraId="10417A9A">
            <w:pPr>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rPr>
              <w:t>纳税</w:t>
            </w:r>
            <w:r>
              <w:rPr>
                <w:rFonts w:hint="eastAsia" w:asciiTheme="minorEastAsia" w:hAnsiTheme="minorEastAsia" w:eastAsiaTheme="minorEastAsia" w:cstheme="minorEastAsia"/>
                <w:sz w:val="24"/>
              </w:rPr>
              <w:t>人识别号：</w:t>
            </w:r>
          </w:p>
        </w:tc>
      </w:tr>
      <w:tr w14:paraId="08A35FA7">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14:paraId="3DCBFD98">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电    话：0826-2222448</w:t>
            </w:r>
          </w:p>
        </w:tc>
        <w:tc>
          <w:tcPr>
            <w:tcW w:w="4669" w:type="dxa"/>
            <w:shd w:val="clear" w:color="auto" w:fill="auto"/>
            <w:vAlign w:val="center"/>
          </w:tcPr>
          <w:p w14:paraId="49031717">
            <w:pPr>
              <w:spacing w:line="400" w:lineRule="exact"/>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sz w:val="24"/>
              </w:rPr>
              <w:t>电    话：</w:t>
            </w:r>
          </w:p>
        </w:tc>
      </w:tr>
      <w:tr w14:paraId="7D0D35D9">
        <w:tblPrEx>
          <w:tblCellMar>
            <w:top w:w="0" w:type="dxa"/>
            <w:left w:w="108" w:type="dxa"/>
            <w:bottom w:w="0" w:type="dxa"/>
            <w:right w:w="108" w:type="dxa"/>
          </w:tblCellMar>
        </w:tblPrEx>
        <w:trPr>
          <w:trHeight w:val="567" w:hRule="atLeast"/>
          <w:jc w:val="center"/>
        </w:trPr>
        <w:tc>
          <w:tcPr>
            <w:tcW w:w="4829" w:type="dxa"/>
            <w:shd w:val="clear" w:color="auto" w:fill="auto"/>
            <w:vAlign w:val="center"/>
          </w:tcPr>
          <w:p w14:paraId="1109ADB0">
            <w:pPr>
              <w:spacing w:line="400" w:lineRule="exact"/>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签约日期：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年    月    日</w:t>
            </w:r>
          </w:p>
        </w:tc>
        <w:tc>
          <w:tcPr>
            <w:tcW w:w="4669" w:type="dxa"/>
            <w:shd w:val="clear" w:color="auto" w:fill="auto"/>
            <w:vAlign w:val="center"/>
          </w:tcPr>
          <w:p w14:paraId="46DF6AE5">
            <w:pPr>
              <w:spacing w:line="400" w:lineRule="exact"/>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sz w:val="24"/>
              </w:rPr>
              <w:t xml:space="preserve">签约日期：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年     月     日</w:t>
            </w:r>
          </w:p>
        </w:tc>
      </w:tr>
    </w:tbl>
    <w:p w14:paraId="54B6C6A4">
      <w:pPr>
        <w:spacing w:line="440" w:lineRule="exact"/>
        <w:jc w:val="both"/>
        <w:rPr>
          <w:rFonts w:ascii="宋体" w:hAnsi="宋体" w:eastAsia="宋体" w:cs="宋体"/>
          <w:sz w:val="24"/>
          <w:szCs w:val="24"/>
        </w:rPr>
      </w:pPr>
    </w:p>
    <w:p w14:paraId="212AABA8">
      <w:pPr>
        <w:spacing w:line="440" w:lineRule="exact"/>
        <w:jc w:val="both"/>
        <w:rPr>
          <w:rFonts w:ascii="宋体" w:hAnsi="宋体" w:eastAsia="宋体" w:cs="宋体"/>
          <w:sz w:val="24"/>
          <w:szCs w:val="24"/>
        </w:rPr>
      </w:pPr>
    </w:p>
    <w:p w14:paraId="700DADCD">
      <w:pPr>
        <w:spacing w:line="440" w:lineRule="exact"/>
        <w:jc w:val="both"/>
        <w:rPr>
          <w:rFonts w:ascii="宋体" w:hAnsi="宋体" w:eastAsia="宋体" w:cs="宋体"/>
          <w:sz w:val="24"/>
          <w:szCs w:val="24"/>
        </w:rPr>
      </w:pPr>
    </w:p>
    <w:p w14:paraId="7E970F93">
      <w:pPr>
        <w:spacing w:line="440" w:lineRule="exact"/>
        <w:jc w:val="both"/>
        <w:rPr>
          <w:rFonts w:ascii="宋体" w:hAnsi="宋体" w:eastAsia="宋体" w:cs="宋体"/>
          <w:sz w:val="24"/>
          <w:szCs w:val="24"/>
        </w:rPr>
      </w:pPr>
    </w:p>
    <w:sectPr>
      <w:footerReference r:id="rId4" w:type="default"/>
      <w:pgSz w:w="11906" w:h="16838"/>
      <w:pgMar w:top="1440" w:right="1531" w:bottom="1440" w:left="1644" w:header="708" w:footer="708"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8BD4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7170" cy="26479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17170" cy="264795"/>
                      </a:xfrm>
                      <a:prstGeom prst="rect">
                        <a:avLst/>
                      </a:prstGeom>
                      <a:noFill/>
                      <a:ln>
                        <a:noFill/>
                      </a:ln>
                    </wps:spPr>
                    <wps:txbx>
                      <w:txbxContent>
                        <w:p w14:paraId="137AB565">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0.85pt;width:17.1pt;mso-position-horizontal:center;mso-position-horizontal-relative:margin;mso-wrap-style:none;z-index:251659264;mso-width-relative:page;mso-height-relative:page;" filled="f" stroked="f" coordsize="21600,21600" o:gfxdata="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Yx6TSAAAAAwEAAA8AAAAAAAAAAQAgAAAAIgAAAGRycy9kb3ducmV2LnhtbFBL&#10;AQIUABQAAAAIAIdO4kAk3tvP/AEAAAQEAAAOAAAAAAAAAAEAIAAAACEBAABkcnMvZTJvRG9jLnht&#10;bFBLBQYAAAAABgAGAFkBAACPBQAAAAA=&#10;">
              <v:fill on="f" focussize="0,0"/>
              <v:stroke on="f"/>
              <v:imagedata o:title=""/>
              <o:lock v:ext="edit" aspectratio="f"/>
              <v:textbox inset="0mm,0mm,0mm,0mm" style="mso-fit-shape-to-text:t;">
                <w:txbxContent>
                  <w:p w14:paraId="137AB565">
                    <w:pPr>
                      <w:pStyle w:val="6"/>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6B58D"/>
    <w:multiLevelType w:val="singleLevel"/>
    <w:tmpl w:val="8E06B58D"/>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ZhYTQyODU5NzZkODkyYjAyZmQ0YTllNjIxNmEifQ=="/>
  </w:docVars>
  <w:rsids>
    <w:rsidRoot w:val="00D31D50"/>
    <w:rsid w:val="00031255"/>
    <w:rsid w:val="00071D19"/>
    <w:rsid w:val="000953C1"/>
    <w:rsid w:val="000A2707"/>
    <w:rsid w:val="000A7DB5"/>
    <w:rsid w:val="000B47A0"/>
    <w:rsid w:val="000C37D9"/>
    <w:rsid w:val="000D39EB"/>
    <w:rsid w:val="000D5F1A"/>
    <w:rsid w:val="00101242"/>
    <w:rsid w:val="00105A2A"/>
    <w:rsid w:val="001079EB"/>
    <w:rsid w:val="00172E22"/>
    <w:rsid w:val="001903D2"/>
    <w:rsid w:val="001C3765"/>
    <w:rsid w:val="002071A8"/>
    <w:rsid w:val="002154E9"/>
    <w:rsid w:val="00222059"/>
    <w:rsid w:val="00226169"/>
    <w:rsid w:val="00227288"/>
    <w:rsid w:val="00227398"/>
    <w:rsid w:val="00233BFE"/>
    <w:rsid w:val="002613EB"/>
    <w:rsid w:val="0026489F"/>
    <w:rsid w:val="002719B1"/>
    <w:rsid w:val="0027341A"/>
    <w:rsid w:val="0027402D"/>
    <w:rsid w:val="00285BA7"/>
    <w:rsid w:val="002A0B35"/>
    <w:rsid w:val="00323B43"/>
    <w:rsid w:val="003341A4"/>
    <w:rsid w:val="00356799"/>
    <w:rsid w:val="0038472C"/>
    <w:rsid w:val="0038723D"/>
    <w:rsid w:val="00387ED1"/>
    <w:rsid w:val="00397361"/>
    <w:rsid w:val="003A23A0"/>
    <w:rsid w:val="003A4FDD"/>
    <w:rsid w:val="003D3224"/>
    <w:rsid w:val="003D37D8"/>
    <w:rsid w:val="00413310"/>
    <w:rsid w:val="00426133"/>
    <w:rsid w:val="00430D8F"/>
    <w:rsid w:val="004358AB"/>
    <w:rsid w:val="00440A1B"/>
    <w:rsid w:val="00442D12"/>
    <w:rsid w:val="00463C50"/>
    <w:rsid w:val="00463FB6"/>
    <w:rsid w:val="004662FF"/>
    <w:rsid w:val="004800FC"/>
    <w:rsid w:val="00497FD5"/>
    <w:rsid w:val="004B2B27"/>
    <w:rsid w:val="004D59B3"/>
    <w:rsid w:val="00536B89"/>
    <w:rsid w:val="00543736"/>
    <w:rsid w:val="005471C5"/>
    <w:rsid w:val="00570E28"/>
    <w:rsid w:val="00595394"/>
    <w:rsid w:val="005A53B9"/>
    <w:rsid w:val="005A6C4D"/>
    <w:rsid w:val="005F5127"/>
    <w:rsid w:val="006051BD"/>
    <w:rsid w:val="00613CE1"/>
    <w:rsid w:val="00623D97"/>
    <w:rsid w:val="00625EB1"/>
    <w:rsid w:val="00630D7A"/>
    <w:rsid w:val="00645774"/>
    <w:rsid w:val="006551E8"/>
    <w:rsid w:val="006748E8"/>
    <w:rsid w:val="0068005F"/>
    <w:rsid w:val="006D085F"/>
    <w:rsid w:val="006F7859"/>
    <w:rsid w:val="007011BF"/>
    <w:rsid w:val="0073238F"/>
    <w:rsid w:val="00744F0F"/>
    <w:rsid w:val="0074599C"/>
    <w:rsid w:val="00766277"/>
    <w:rsid w:val="0078078F"/>
    <w:rsid w:val="007A76F0"/>
    <w:rsid w:val="007E6847"/>
    <w:rsid w:val="008000DA"/>
    <w:rsid w:val="00800482"/>
    <w:rsid w:val="008244C3"/>
    <w:rsid w:val="008521FF"/>
    <w:rsid w:val="0086005E"/>
    <w:rsid w:val="0086745E"/>
    <w:rsid w:val="008906CB"/>
    <w:rsid w:val="00895E7F"/>
    <w:rsid w:val="008B7726"/>
    <w:rsid w:val="008D4F73"/>
    <w:rsid w:val="009073F5"/>
    <w:rsid w:val="00931EBB"/>
    <w:rsid w:val="0094525E"/>
    <w:rsid w:val="00946C9C"/>
    <w:rsid w:val="00954839"/>
    <w:rsid w:val="0098038A"/>
    <w:rsid w:val="00992E2E"/>
    <w:rsid w:val="009A68DB"/>
    <w:rsid w:val="009D2360"/>
    <w:rsid w:val="009D46DA"/>
    <w:rsid w:val="009D6F4E"/>
    <w:rsid w:val="00A016A6"/>
    <w:rsid w:val="00A1730E"/>
    <w:rsid w:val="00A3126E"/>
    <w:rsid w:val="00A84C67"/>
    <w:rsid w:val="00A86134"/>
    <w:rsid w:val="00AA00D2"/>
    <w:rsid w:val="00AB3BDA"/>
    <w:rsid w:val="00AD7338"/>
    <w:rsid w:val="00AD74E4"/>
    <w:rsid w:val="00B0122F"/>
    <w:rsid w:val="00B050B5"/>
    <w:rsid w:val="00B051BA"/>
    <w:rsid w:val="00B16B53"/>
    <w:rsid w:val="00B309FA"/>
    <w:rsid w:val="00B44746"/>
    <w:rsid w:val="00B50901"/>
    <w:rsid w:val="00B57D4B"/>
    <w:rsid w:val="00B67031"/>
    <w:rsid w:val="00B72BAB"/>
    <w:rsid w:val="00BA252C"/>
    <w:rsid w:val="00BB3F26"/>
    <w:rsid w:val="00BB3FDA"/>
    <w:rsid w:val="00BC0A80"/>
    <w:rsid w:val="00BE4020"/>
    <w:rsid w:val="00BF32B0"/>
    <w:rsid w:val="00C11035"/>
    <w:rsid w:val="00C72C1B"/>
    <w:rsid w:val="00CD1AB6"/>
    <w:rsid w:val="00D21760"/>
    <w:rsid w:val="00D31D50"/>
    <w:rsid w:val="00D418CC"/>
    <w:rsid w:val="00D80A84"/>
    <w:rsid w:val="00D96967"/>
    <w:rsid w:val="00DB3A30"/>
    <w:rsid w:val="00DD16DB"/>
    <w:rsid w:val="00DF6C58"/>
    <w:rsid w:val="00E02DBC"/>
    <w:rsid w:val="00E159A6"/>
    <w:rsid w:val="00E2509A"/>
    <w:rsid w:val="00EB106C"/>
    <w:rsid w:val="00ED4D1E"/>
    <w:rsid w:val="00ED6C46"/>
    <w:rsid w:val="00EE2926"/>
    <w:rsid w:val="00F05B85"/>
    <w:rsid w:val="00F137B8"/>
    <w:rsid w:val="00F338E4"/>
    <w:rsid w:val="00F54B96"/>
    <w:rsid w:val="00F9536E"/>
    <w:rsid w:val="00FB2310"/>
    <w:rsid w:val="00FB69A8"/>
    <w:rsid w:val="00FE0E82"/>
    <w:rsid w:val="00FF2414"/>
    <w:rsid w:val="010B22B0"/>
    <w:rsid w:val="022573A2"/>
    <w:rsid w:val="023C4497"/>
    <w:rsid w:val="029C58B6"/>
    <w:rsid w:val="04A85BCE"/>
    <w:rsid w:val="073360BD"/>
    <w:rsid w:val="073B47E2"/>
    <w:rsid w:val="07990616"/>
    <w:rsid w:val="08CF25AB"/>
    <w:rsid w:val="094D4642"/>
    <w:rsid w:val="097B35BB"/>
    <w:rsid w:val="0A4F1460"/>
    <w:rsid w:val="0A6F1B02"/>
    <w:rsid w:val="0B7038B6"/>
    <w:rsid w:val="0B81389B"/>
    <w:rsid w:val="0B9C0F91"/>
    <w:rsid w:val="0CF34325"/>
    <w:rsid w:val="0D437845"/>
    <w:rsid w:val="0E335686"/>
    <w:rsid w:val="0EFB3964"/>
    <w:rsid w:val="0FA67D74"/>
    <w:rsid w:val="10195387"/>
    <w:rsid w:val="124B7DBF"/>
    <w:rsid w:val="126F6B43"/>
    <w:rsid w:val="12851EC3"/>
    <w:rsid w:val="138946FA"/>
    <w:rsid w:val="13A45831"/>
    <w:rsid w:val="13AE5449"/>
    <w:rsid w:val="14942891"/>
    <w:rsid w:val="159F14ED"/>
    <w:rsid w:val="171E3CF0"/>
    <w:rsid w:val="1773340C"/>
    <w:rsid w:val="17B13ACA"/>
    <w:rsid w:val="180052A4"/>
    <w:rsid w:val="19202945"/>
    <w:rsid w:val="1AEB5A4B"/>
    <w:rsid w:val="1B9C6460"/>
    <w:rsid w:val="1BB10A29"/>
    <w:rsid w:val="1CAA1346"/>
    <w:rsid w:val="1D251511"/>
    <w:rsid w:val="1D631052"/>
    <w:rsid w:val="1DCA5874"/>
    <w:rsid w:val="1E5648FD"/>
    <w:rsid w:val="1F1A1BE5"/>
    <w:rsid w:val="1F332CA6"/>
    <w:rsid w:val="1FC35DD8"/>
    <w:rsid w:val="1FEF6BCD"/>
    <w:rsid w:val="21052421"/>
    <w:rsid w:val="2166309D"/>
    <w:rsid w:val="22F55300"/>
    <w:rsid w:val="23A203FB"/>
    <w:rsid w:val="243667B5"/>
    <w:rsid w:val="252437BD"/>
    <w:rsid w:val="261A4BC0"/>
    <w:rsid w:val="26AB75C6"/>
    <w:rsid w:val="26F1147D"/>
    <w:rsid w:val="27DE039E"/>
    <w:rsid w:val="2A6B59EA"/>
    <w:rsid w:val="2B013C59"/>
    <w:rsid w:val="2BD001FB"/>
    <w:rsid w:val="2BD80E5D"/>
    <w:rsid w:val="2BF75295"/>
    <w:rsid w:val="2BFD5611"/>
    <w:rsid w:val="2C047EA4"/>
    <w:rsid w:val="2C4803A2"/>
    <w:rsid w:val="2D0143E4"/>
    <w:rsid w:val="2DE737C3"/>
    <w:rsid w:val="2E88192D"/>
    <w:rsid w:val="2F0E725D"/>
    <w:rsid w:val="2F745341"/>
    <w:rsid w:val="2F865C25"/>
    <w:rsid w:val="2FC24372"/>
    <w:rsid w:val="316D145E"/>
    <w:rsid w:val="31F220A3"/>
    <w:rsid w:val="34453574"/>
    <w:rsid w:val="345E6AC8"/>
    <w:rsid w:val="3589141A"/>
    <w:rsid w:val="359202CF"/>
    <w:rsid w:val="35E2155D"/>
    <w:rsid w:val="36586B29"/>
    <w:rsid w:val="374E3355"/>
    <w:rsid w:val="39971008"/>
    <w:rsid w:val="39D8117A"/>
    <w:rsid w:val="3AB72443"/>
    <w:rsid w:val="3ABC283C"/>
    <w:rsid w:val="3ADF22C5"/>
    <w:rsid w:val="3C406CD7"/>
    <w:rsid w:val="3CC64D02"/>
    <w:rsid w:val="3CD0251E"/>
    <w:rsid w:val="3CDF2905"/>
    <w:rsid w:val="3E14719B"/>
    <w:rsid w:val="3E16642F"/>
    <w:rsid w:val="3E497999"/>
    <w:rsid w:val="3E6D0A20"/>
    <w:rsid w:val="3E8310FD"/>
    <w:rsid w:val="3EC41C8D"/>
    <w:rsid w:val="3F6E3B5B"/>
    <w:rsid w:val="41A27AEC"/>
    <w:rsid w:val="42944BF5"/>
    <w:rsid w:val="43F344B8"/>
    <w:rsid w:val="447147FD"/>
    <w:rsid w:val="450A60D4"/>
    <w:rsid w:val="4561381A"/>
    <w:rsid w:val="45A8769B"/>
    <w:rsid w:val="45DB1C3D"/>
    <w:rsid w:val="465C364E"/>
    <w:rsid w:val="47131BFB"/>
    <w:rsid w:val="497D463E"/>
    <w:rsid w:val="4A77763C"/>
    <w:rsid w:val="4A8967A3"/>
    <w:rsid w:val="4AB35EA4"/>
    <w:rsid w:val="4B137364"/>
    <w:rsid w:val="4B4614E8"/>
    <w:rsid w:val="4B526EA7"/>
    <w:rsid w:val="4B5B6EAB"/>
    <w:rsid w:val="4C8D1398"/>
    <w:rsid w:val="4C916452"/>
    <w:rsid w:val="4C9B5863"/>
    <w:rsid w:val="4E082158"/>
    <w:rsid w:val="4E96332B"/>
    <w:rsid w:val="4ECD3CCE"/>
    <w:rsid w:val="4F434A51"/>
    <w:rsid w:val="4F506DD9"/>
    <w:rsid w:val="4FA7451F"/>
    <w:rsid w:val="4FD64685"/>
    <w:rsid w:val="506A6C55"/>
    <w:rsid w:val="50C07F8E"/>
    <w:rsid w:val="50C35389"/>
    <w:rsid w:val="52666914"/>
    <w:rsid w:val="545E2780"/>
    <w:rsid w:val="54CD4A28"/>
    <w:rsid w:val="54F35F69"/>
    <w:rsid w:val="55124B31"/>
    <w:rsid w:val="55292282"/>
    <w:rsid w:val="557151DB"/>
    <w:rsid w:val="576943E9"/>
    <w:rsid w:val="57991042"/>
    <w:rsid w:val="57A34E8F"/>
    <w:rsid w:val="59905C3D"/>
    <w:rsid w:val="5AC11F3B"/>
    <w:rsid w:val="5AF90027"/>
    <w:rsid w:val="5BDB5C7C"/>
    <w:rsid w:val="5D101311"/>
    <w:rsid w:val="5DEA03F9"/>
    <w:rsid w:val="5EAD5AEA"/>
    <w:rsid w:val="5F356121"/>
    <w:rsid w:val="604A74F0"/>
    <w:rsid w:val="60600DBE"/>
    <w:rsid w:val="61DA5A55"/>
    <w:rsid w:val="620B4DE2"/>
    <w:rsid w:val="62C372E0"/>
    <w:rsid w:val="648844C8"/>
    <w:rsid w:val="65A57A07"/>
    <w:rsid w:val="65B064A4"/>
    <w:rsid w:val="65FF409E"/>
    <w:rsid w:val="665B1E80"/>
    <w:rsid w:val="68630F74"/>
    <w:rsid w:val="689E69AF"/>
    <w:rsid w:val="69FB3EBA"/>
    <w:rsid w:val="69FD3262"/>
    <w:rsid w:val="6A7833FF"/>
    <w:rsid w:val="6AC20AE8"/>
    <w:rsid w:val="6B517D09"/>
    <w:rsid w:val="6B6F1F3D"/>
    <w:rsid w:val="6DEE0AF5"/>
    <w:rsid w:val="6E165802"/>
    <w:rsid w:val="6E8059E2"/>
    <w:rsid w:val="6F8E72F2"/>
    <w:rsid w:val="703B688F"/>
    <w:rsid w:val="7106741A"/>
    <w:rsid w:val="71E850FD"/>
    <w:rsid w:val="724C27FF"/>
    <w:rsid w:val="725E2D0C"/>
    <w:rsid w:val="72710C91"/>
    <w:rsid w:val="73221F8B"/>
    <w:rsid w:val="739B2C7A"/>
    <w:rsid w:val="73F56246"/>
    <w:rsid w:val="741B6BAF"/>
    <w:rsid w:val="748F3650"/>
    <w:rsid w:val="74AE7F7A"/>
    <w:rsid w:val="75D85D80"/>
    <w:rsid w:val="76257DC8"/>
    <w:rsid w:val="766D176F"/>
    <w:rsid w:val="76702AC4"/>
    <w:rsid w:val="76966F18"/>
    <w:rsid w:val="76D24BE7"/>
    <w:rsid w:val="78263103"/>
    <w:rsid w:val="78404499"/>
    <w:rsid w:val="78564BB1"/>
    <w:rsid w:val="78672D36"/>
    <w:rsid w:val="79D7371C"/>
    <w:rsid w:val="79FC510E"/>
    <w:rsid w:val="7A607A91"/>
    <w:rsid w:val="7B782A31"/>
    <w:rsid w:val="7B94617F"/>
    <w:rsid w:val="7CCF4F32"/>
    <w:rsid w:val="7DD1735D"/>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9"/>
    <w:pPr>
      <w:keepNext/>
      <w:keepLines/>
      <w:spacing w:line="500" w:lineRule="exact"/>
      <w:jc w:val="center"/>
      <w:outlineLvl w:val="0"/>
    </w:pPr>
    <w:rPr>
      <w:rFonts w:eastAsia="黑体"/>
      <w:b/>
      <w:kern w:val="44"/>
      <w:sz w:val="36"/>
    </w:rPr>
  </w:style>
  <w:style w:type="paragraph" w:styleId="3">
    <w:name w:val="heading 2"/>
    <w:basedOn w:val="1"/>
    <w:next w:val="1"/>
    <w:link w:val="17"/>
    <w:autoRedefine/>
    <w:unhideWhenUsed/>
    <w:qFormat/>
    <w:uiPriority w:val="9"/>
    <w:pPr>
      <w:keepNext/>
      <w:keepLines/>
      <w:spacing w:line="500" w:lineRule="exact"/>
      <w:outlineLvl w:val="1"/>
    </w:pPr>
    <w:rPr>
      <w:rFonts w:ascii="Arial" w:hAnsi="Arial" w:eastAsia="黑体"/>
      <w:b/>
      <w:sz w:val="2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14"/>
    <w:autoRedefine/>
    <w:qFormat/>
    <w:uiPriority w:val="0"/>
    <w:pPr>
      <w:widowControl w:val="0"/>
      <w:adjustRightInd/>
      <w:snapToGrid/>
      <w:spacing w:after="0"/>
      <w:jc w:val="both"/>
    </w:pPr>
    <w:rPr>
      <w:rFonts w:ascii="Calibri" w:hAnsi="Calibri" w:eastAsia="宋体" w:cs="Calibri"/>
      <w:sz w:val="34"/>
      <w:szCs w:val="21"/>
    </w:rPr>
  </w:style>
  <w:style w:type="paragraph" w:styleId="5">
    <w:name w:val="Balloon Text"/>
    <w:basedOn w:val="1"/>
    <w:link w:val="18"/>
    <w:autoRedefine/>
    <w:semiHidden/>
    <w:unhideWhenUsed/>
    <w:qFormat/>
    <w:uiPriority w:val="99"/>
    <w:pPr>
      <w:spacing w:after="0"/>
    </w:pPr>
    <w:rPr>
      <w:sz w:val="18"/>
      <w:szCs w:val="18"/>
    </w:rPr>
  </w:style>
  <w:style w:type="paragraph" w:styleId="6">
    <w:name w:val="footer"/>
    <w:basedOn w:val="1"/>
    <w:link w:val="13"/>
    <w:autoRedefine/>
    <w:unhideWhenUsed/>
    <w:qFormat/>
    <w:uiPriority w:val="99"/>
    <w:pPr>
      <w:tabs>
        <w:tab w:val="center" w:pos="4153"/>
        <w:tab w:val="right" w:pos="8306"/>
      </w:tabs>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8">
    <w:name w:val="Body Text Indent 3"/>
    <w:basedOn w:val="1"/>
    <w:link w:val="15"/>
    <w:autoRedefine/>
    <w:qFormat/>
    <w:uiPriority w:val="0"/>
    <w:pPr>
      <w:widowControl w:val="0"/>
      <w:spacing w:after="0" w:line="360" w:lineRule="auto"/>
      <w:ind w:firstLine="480" w:firstLineChars="200"/>
      <w:jc w:val="both"/>
    </w:pPr>
    <w:rPr>
      <w:rFonts w:ascii="宋体" w:hAnsi="宋体" w:eastAsia="宋体" w:cs="Times New Roman"/>
      <w:sz w:val="24"/>
      <w:szCs w:val="20"/>
    </w:rPr>
  </w:style>
  <w:style w:type="paragraph" w:styleId="9">
    <w:name w:val="Title"/>
    <w:basedOn w:val="1"/>
    <w:next w:val="1"/>
    <w:autoRedefine/>
    <w:qFormat/>
    <w:uiPriority w:val="10"/>
    <w:pPr>
      <w:spacing w:before="240" w:after="60"/>
      <w:jc w:val="center"/>
      <w:outlineLvl w:val="0"/>
    </w:pPr>
    <w:rPr>
      <w:rFonts w:asciiTheme="majorHAnsi" w:hAnsiTheme="majorHAnsi" w:eastAsiaTheme="majorEastAsia" w:cstheme="majorBidi"/>
      <w:b/>
      <w:bCs/>
      <w:sz w:val="44"/>
      <w:szCs w:val="32"/>
    </w:rPr>
  </w:style>
  <w:style w:type="character" w:customStyle="1" w:styleId="12">
    <w:name w:val="页眉 Char"/>
    <w:basedOn w:val="11"/>
    <w:link w:val="7"/>
    <w:autoRedefine/>
    <w:qFormat/>
    <w:uiPriority w:val="99"/>
    <w:rPr>
      <w:rFonts w:ascii="Tahoma" w:hAnsi="Tahoma"/>
      <w:sz w:val="18"/>
      <w:szCs w:val="18"/>
    </w:rPr>
  </w:style>
  <w:style w:type="character" w:customStyle="1" w:styleId="13">
    <w:name w:val="页脚 Char"/>
    <w:basedOn w:val="11"/>
    <w:link w:val="6"/>
    <w:autoRedefine/>
    <w:qFormat/>
    <w:uiPriority w:val="99"/>
    <w:rPr>
      <w:rFonts w:ascii="Tahoma" w:hAnsi="Tahoma"/>
      <w:sz w:val="18"/>
      <w:szCs w:val="18"/>
    </w:rPr>
  </w:style>
  <w:style w:type="character" w:customStyle="1" w:styleId="14">
    <w:name w:val="正文文本 Char"/>
    <w:basedOn w:val="11"/>
    <w:link w:val="4"/>
    <w:autoRedefine/>
    <w:qFormat/>
    <w:uiPriority w:val="0"/>
    <w:rPr>
      <w:rFonts w:ascii="Calibri" w:hAnsi="Calibri" w:eastAsia="宋体" w:cs="Calibri"/>
      <w:sz w:val="34"/>
      <w:szCs w:val="21"/>
    </w:rPr>
  </w:style>
  <w:style w:type="character" w:customStyle="1" w:styleId="15">
    <w:name w:val="正文文本缩进 3 Char"/>
    <w:basedOn w:val="11"/>
    <w:link w:val="8"/>
    <w:autoRedefine/>
    <w:qFormat/>
    <w:uiPriority w:val="0"/>
    <w:rPr>
      <w:rFonts w:ascii="宋体" w:hAnsi="宋体" w:eastAsia="宋体" w:cs="Times New Roman"/>
      <w:sz w:val="24"/>
      <w:szCs w:val="20"/>
    </w:rPr>
  </w:style>
  <w:style w:type="paragraph" w:customStyle="1" w:styleId="1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标题 2 Char"/>
    <w:link w:val="3"/>
    <w:autoRedefine/>
    <w:qFormat/>
    <w:uiPriority w:val="0"/>
    <w:rPr>
      <w:rFonts w:ascii="Arial" w:hAnsi="Arial" w:eastAsia="黑体"/>
      <w:b/>
      <w:sz w:val="24"/>
    </w:rPr>
  </w:style>
  <w:style w:type="character" w:customStyle="1" w:styleId="18">
    <w:name w:val="批注框文本 Char"/>
    <w:basedOn w:val="11"/>
    <w:link w:val="5"/>
    <w:autoRedefine/>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3204</Words>
  <Characters>3412</Characters>
  <Lines>21</Lines>
  <Paragraphs>6</Paragraphs>
  <TotalTime>5</TotalTime>
  <ScaleCrop>false</ScaleCrop>
  <LinksUpToDate>false</LinksUpToDate>
  <CharactersWithSpaces>3899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2023-03-29T06:50:00Z</dcterms:created>
  <dc:creator>Administrator</dc:creator>
  <cp:lastModifiedBy>Grey ＆ Fantasy</cp:lastModifiedBy>
  <cp:lastPrinted>2023-09-15T08:07:00Z</cp:lastPrinted>
  <dcterms:modified xsi:type="dcterms:W3CDTF">2024-11-06T08:42:08Z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22C608D3F97F47A99CA78FE7933B1949</vt:lpwstr>
  </property>
</Properties>
</file>