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52E6" w14:textId="77777777" w:rsidR="005B0310" w:rsidRDefault="005B0310">
      <w:pPr>
        <w:widowControl/>
        <w:shd w:val="clear" w:color="auto" w:fill="FDFDFD"/>
        <w:wordWrap w:val="0"/>
        <w:spacing w:line="400" w:lineRule="exact"/>
        <w:ind w:right="601" w:firstLineChars="2300" w:firstLine="5520"/>
        <w:rPr>
          <w:rFonts w:eastAsia="方正仿宋_GBK"/>
          <w:sz w:val="24"/>
          <w:szCs w:val="24"/>
        </w:rPr>
      </w:pPr>
    </w:p>
    <w:p w14:paraId="30BCE8F7" w14:textId="77777777" w:rsidR="005B0310" w:rsidRDefault="005B0310">
      <w:pPr>
        <w:widowControl/>
        <w:shd w:val="clear" w:color="auto" w:fill="FDFDFD"/>
        <w:wordWrap w:val="0"/>
        <w:spacing w:line="400" w:lineRule="exact"/>
        <w:ind w:right="601"/>
        <w:rPr>
          <w:rFonts w:eastAsia="方正仿宋_GBK"/>
          <w:sz w:val="24"/>
          <w:szCs w:val="24"/>
        </w:rPr>
      </w:pPr>
    </w:p>
    <w:p w14:paraId="28C0B835" w14:textId="77777777" w:rsidR="005B0310" w:rsidRDefault="005B0310">
      <w:pPr>
        <w:widowControl/>
        <w:shd w:val="clear" w:color="auto" w:fill="FDFDFD"/>
        <w:wordWrap w:val="0"/>
        <w:spacing w:line="400" w:lineRule="exact"/>
        <w:ind w:right="601"/>
        <w:rPr>
          <w:rFonts w:eastAsia="方正仿宋_GBK"/>
          <w:sz w:val="24"/>
          <w:szCs w:val="24"/>
        </w:rPr>
      </w:pPr>
    </w:p>
    <w:p w14:paraId="41B4A788" w14:textId="135BD821" w:rsidR="001F075D" w:rsidRDefault="00E55F00" w:rsidP="001F075D">
      <w:pPr>
        <w:widowControl/>
        <w:spacing w:line="360" w:lineRule="auto"/>
        <w:jc w:val="center"/>
        <w:rPr>
          <w:rFonts w:ascii="仿宋" w:eastAsia="仿宋" w:hAnsi="仿宋" w:cs="仿宋"/>
          <w:b/>
          <w:bCs/>
          <w:color w:val="000000"/>
          <w:sz w:val="24"/>
          <w:szCs w:val="24"/>
        </w:rPr>
      </w:pPr>
      <w:r>
        <w:rPr>
          <w:rFonts w:ascii="仿宋" w:eastAsia="仿宋" w:hAnsi="仿宋" w:cs="仿宋" w:hint="eastAsia"/>
          <w:b/>
          <w:color w:val="000000"/>
          <w:sz w:val="24"/>
          <w:szCs w:val="24"/>
        </w:rPr>
        <w:t>附件</w:t>
      </w:r>
      <w:r w:rsidR="001F075D">
        <w:rPr>
          <w:rFonts w:ascii="仿宋" w:eastAsia="仿宋" w:hAnsi="仿宋" w:cs="仿宋" w:hint="eastAsia"/>
          <w:b/>
          <w:color w:val="000000"/>
          <w:sz w:val="24"/>
          <w:szCs w:val="24"/>
        </w:rPr>
        <w:t>2</w:t>
      </w:r>
      <w:r>
        <w:rPr>
          <w:rFonts w:ascii="仿宋" w:eastAsia="仿宋" w:hAnsi="仿宋" w:cs="仿宋" w:hint="eastAsia"/>
          <w:b/>
          <w:color w:val="000000"/>
          <w:sz w:val="24"/>
          <w:szCs w:val="24"/>
        </w:rPr>
        <w:t>：</w:t>
      </w:r>
      <w:r w:rsidR="001F075D" w:rsidRPr="001F075D">
        <w:rPr>
          <w:rFonts w:ascii="仿宋" w:eastAsia="仿宋" w:hAnsi="仿宋" w:cs="仿宋" w:hint="eastAsia"/>
          <w:b/>
          <w:color w:val="000000"/>
          <w:sz w:val="24"/>
          <w:szCs w:val="24"/>
        </w:rPr>
        <w:t>便利店考核评分表、便利店店不合格事件处罚标准明细表(日常管理)</w:t>
      </w:r>
    </w:p>
    <w:p w14:paraId="34F7A389" w14:textId="4A8BDD2E" w:rsidR="005B0310" w:rsidRPr="001F075D" w:rsidRDefault="005B0310">
      <w:pPr>
        <w:rPr>
          <w:rFonts w:ascii="仿宋" w:eastAsia="仿宋" w:hAnsi="仿宋" w:cs="仿宋"/>
          <w:b/>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1833"/>
        <w:gridCol w:w="4109"/>
        <w:gridCol w:w="1134"/>
        <w:gridCol w:w="1214"/>
      </w:tblGrid>
      <w:tr w:rsidR="005B0310" w14:paraId="45BB8F8D" w14:textId="77777777">
        <w:trPr>
          <w:tblCellSpacing w:w="0" w:type="dxa"/>
        </w:trPr>
        <w:tc>
          <w:tcPr>
            <w:tcW w:w="5000" w:type="pct"/>
            <w:gridSpan w:val="4"/>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0EAD2B35" w14:textId="77777777" w:rsidR="005B0310" w:rsidRDefault="00E55F00">
            <w:pPr>
              <w:widowControl/>
              <w:spacing w:before="100" w:beforeAutospacing="1" w:after="100" w:afterAutospacing="1"/>
              <w:ind w:firstLineChars="1000" w:firstLine="2811"/>
              <w:rPr>
                <w:rFonts w:ascii="仿宋" w:eastAsia="仿宋" w:hAnsi="仿宋" w:cs="仿宋"/>
                <w:color w:val="000000"/>
                <w:szCs w:val="21"/>
              </w:rPr>
            </w:pPr>
            <w:r>
              <w:rPr>
                <w:rFonts w:ascii="仿宋" w:eastAsia="仿宋" w:hAnsi="仿宋" w:cs="仿宋" w:hint="eastAsia"/>
                <w:b/>
                <w:bCs/>
                <w:color w:val="000000"/>
                <w:sz w:val="28"/>
                <w:szCs w:val="28"/>
              </w:rPr>
              <w:t>便利店季度考核评分表</w:t>
            </w:r>
          </w:p>
        </w:tc>
      </w:tr>
      <w:tr w:rsidR="005B0310" w14:paraId="55EA407A"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7AAD579F" w14:textId="77777777" w:rsidR="005B0310" w:rsidRDefault="00E55F00">
            <w:pPr>
              <w:widowControl/>
              <w:spacing w:before="100" w:beforeAutospacing="1" w:after="100" w:afterAutospacing="1"/>
              <w:ind w:firstLineChars="300" w:firstLine="630"/>
              <w:jc w:val="left"/>
              <w:rPr>
                <w:rFonts w:ascii="仿宋" w:eastAsia="仿宋" w:hAnsi="仿宋" w:cs="仿宋"/>
                <w:color w:val="000000"/>
                <w:szCs w:val="21"/>
              </w:rPr>
            </w:pPr>
            <w:r>
              <w:rPr>
                <w:rFonts w:ascii="仿宋" w:eastAsia="仿宋" w:hAnsi="仿宋" w:cs="仿宋" w:hint="eastAsia"/>
                <w:color w:val="000000"/>
                <w:szCs w:val="21"/>
              </w:rPr>
              <w:t xml:space="preserve">年 </w:t>
            </w:r>
            <w:r>
              <w:rPr>
                <w:rFonts w:ascii="仿宋" w:eastAsia="仿宋" w:hAnsi="仿宋" w:cs="仿宋"/>
                <w:color w:val="000000"/>
                <w:szCs w:val="21"/>
              </w:rPr>
              <w:t xml:space="preserve">  </w:t>
            </w:r>
            <w:r>
              <w:rPr>
                <w:rFonts w:ascii="仿宋" w:eastAsia="仿宋" w:hAnsi="仿宋" w:cs="仿宋" w:hint="eastAsia"/>
                <w:color w:val="000000"/>
                <w:szCs w:val="21"/>
              </w:rPr>
              <w:t>月</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07522172"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考核科室签字：</w:t>
            </w:r>
          </w:p>
        </w:tc>
        <w:tc>
          <w:tcPr>
            <w:tcW w:w="1414" w:type="pct"/>
            <w:gridSpan w:val="2"/>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152F3C10"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便利店签字：</w:t>
            </w:r>
          </w:p>
        </w:tc>
      </w:tr>
      <w:tr w:rsidR="005B0310" w14:paraId="2489B938" w14:textId="77777777">
        <w:trPr>
          <w:tblCellSpacing w:w="0" w:type="dxa"/>
        </w:trPr>
        <w:tc>
          <w:tcPr>
            <w:tcW w:w="5000" w:type="pct"/>
            <w:gridSpan w:val="4"/>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08B1CB4F"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一、质量检测</w:t>
            </w:r>
          </w:p>
        </w:tc>
      </w:tr>
      <w:tr w:rsidR="005B0310" w14:paraId="55520F48"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704DB981"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评分项目</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72AA3BB9"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评分说明</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5CA50DA5"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扣分分值</w:t>
            </w: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4B9CD459"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说明</w:t>
            </w:r>
          </w:p>
        </w:tc>
      </w:tr>
      <w:tr w:rsidR="005B0310" w14:paraId="23403863"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68DBEA97"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1、每批次饮品、食品提供质量检测合格报告</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50178A6B"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无检测合格报告的，一次扣10分</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06558C38"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3298D6D4"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069E0E5D" w14:textId="77777777">
        <w:trPr>
          <w:tblCellSpacing w:w="0" w:type="dxa"/>
        </w:trPr>
        <w:tc>
          <w:tcPr>
            <w:tcW w:w="5000" w:type="pct"/>
            <w:gridSpan w:val="4"/>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6E6F25EB"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二、品质</w:t>
            </w:r>
          </w:p>
        </w:tc>
      </w:tr>
      <w:tr w:rsidR="005B0310" w14:paraId="50427D56"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1674998E"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评分项目</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07977AA2"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评分说明</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56F286E8"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扣分分值</w:t>
            </w: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32548314"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说明</w:t>
            </w:r>
          </w:p>
        </w:tc>
      </w:tr>
      <w:tr w:rsidR="005B0310" w14:paraId="10ECB88C"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573CCC8A"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1、品质</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266C717C"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供应产品有变质的或过期的，一次扣5分</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7DE5880B"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458EA4D6"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6C095ADC" w14:textId="77777777">
        <w:trPr>
          <w:tblCellSpacing w:w="0" w:type="dxa"/>
        </w:trPr>
        <w:tc>
          <w:tcPr>
            <w:tcW w:w="5000" w:type="pct"/>
            <w:gridSpan w:val="4"/>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5DAB5B67"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三、服务考核</w:t>
            </w:r>
          </w:p>
        </w:tc>
      </w:tr>
      <w:tr w:rsidR="005B0310" w14:paraId="03C83713"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237ECBEA"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评分项目</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7CB8F30B"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评分说明</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5FCE7C27"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扣分分值</w:t>
            </w: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0B929FD0"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说明</w:t>
            </w:r>
          </w:p>
        </w:tc>
      </w:tr>
      <w:tr w:rsidR="005B0310" w14:paraId="72414B97"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44E183B0"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color w:val="000000"/>
                <w:szCs w:val="21"/>
              </w:rPr>
              <w:t>1</w:t>
            </w:r>
            <w:r>
              <w:rPr>
                <w:rFonts w:ascii="仿宋" w:eastAsia="仿宋" w:hAnsi="仿宋" w:cs="仿宋" w:hint="eastAsia"/>
                <w:color w:val="000000"/>
                <w:szCs w:val="21"/>
              </w:rPr>
              <w:t>、投诉</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2C87505A"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出现对工作人员服务态度投诉的，一次扣5分</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249FA8CB"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1444C631"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1A228D8A"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507B8760"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color w:val="000000"/>
                <w:szCs w:val="21"/>
              </w:rPr>
              <w:t>2</w:t>
            </w:r>
            <w:r>
              <w:rPr>
                <w:rFonts w:ascii="仿宋" w:eastAsia="仿宋" w:hAnsi="仿宋" w:cs="仿宋" w:hint="eastAsia"/>
                <w:color w:val="000000"/>
                <w:szCs w:val="21"/>
              </w:rPr>
              <w:t>、资质上报</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6185A89B"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未按时报送更新公司相关资质资料的（如营业执照、食品经营许可证、商品质量检验报告等）扣</w:t>
            </w:r>
            <w:r>
              <w:rPr>
                <w:rFonts w:ascii="仿宋" w:eastAsia="仿宋" w:hAnsi="仿宋" w:cs="仿宋"/>
                <w:color w:val="000000"/>
                <w:szCs w:val="21"/>
              </w:rPr>
              <w:t>5</w:t>
            </w:r>
            <w:r>
              <w:rPr>
                <w:rFonts w:ascii="仿宋" w:eastAsia="仿宋" w:hAnsi="仿宋" w:cs="仿宋" w:hint="eastAsia"/>
                <w:color w:val="000000"/>
                <w:szCs w:val="21"/>
              </w:rPr>
              <w:t>分</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2C6F2419"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13B3637C"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3ED82A22"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8E1454F" w14:textId="77777777" w:rsidR="005B0310" w:rsidRDefault="00E55F00">
            <w:pPr>
              <w:widowControl/>
              <w:spacing w:before="100" w:beforeAutospacing="1" w:after="100" w:afterAutospacing="1"/>
              <w:jc w:val="left"/>
              <w:rPr>
                <w:rFonts w:ascii="仿宋" w:eastAsia="仿宋" w:hAnsi="仿宋" w:cs="仿宋"/>
                <w:color w:val="000000" w:themeColor="text1"/>
                <w:szCs w:val="21"/>
              </w:rPr>
            </w:pPr>
            <w:r>
              <w:rPr>
                <w:rFonts w:ascii="仿宋" w:eastAsia="仿宋" w:hAnsi="仿宋" w:cs="仿宋" w:hint="eastAsia"/>
                <w:color w:val="000000" w:themeColor="text1"/>
                <w:szCs w:val="21"/>
              </w:rPr>
              <w:t>3、销售时间</w:t>
            </w:r>
          </w:p>
        </w:tc>
        <w:tc>
          <w:tcPr>
            <w:tcW w:w="2478" w:type="pct"/>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51EDF13" w14:textId="77777777" w:rsidR="005B0310" w:rsidRDefault="00E55F00">
            <w:pPr>
              <w:widowControl/>
              <w:spacing w:before="100" w:beforeAutospacing="1" w:after="100" w:afterAutospacing="1"/>
              <w:jc w:val="left"/>
              <w:rPr>
                <w:rFonts w:ascii="仿宋" w:eastAsia="仿宋" w:hAnsi="仿宋" w:cs="仿宋"/>
                <w:color w:val="000000" w:themeColor="text1"/>
                <w:szCs w:val="21"/>
              </w:rPr>
            </w:pPr>
            <w:r>
              <w:rPr>
                <w:rFonts w:ascii="仿宋" w:eastAsia="仿宋" w:hAnsi="仿宋" w:cs="仿宋" w:hint="eastAsia"/>
                <w:color w:val="000000" w:themeColor="text1"/>
                <w:szCs w:val="21"/>
              </w:rPr>
              <w:t>未按合同规定时间销售的，一次扣2分，并依次递增</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25638357"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485BBA24"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53542BAB"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78057A65"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四、安全与卫生</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2607446F"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0C574A47"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扣分分值</w:t>
            </w: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7CC9DEE0"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说明</w:t>
            </w:r>
          </w:p>
        </w:tc>
      </w:tr>
      <w:tr w:rsidR="005B0310" w14:paraId="269D573F"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494B2359"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1、店面卫生</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7C55D037"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吧台杂乱、商品未按类别陈列，地面/桌面有垃圾、水渍未清理，一次扣2分</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3B589799"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53AE5B71"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704481B8"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7B39E763"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color w:val="000000"/>
                <w:szCs w:val="21"/>
              </w:rPr>
              <w:t>2</w:t>
            </w:r>
            <w:r>
              <w:rPr>
                <w:rFonts w:ascii="仿宋" w:eastAsia="仿宋" w:hAnsi="仿宋" w:cs="仿宋" w:hint="eastAsia"/>
                <w:color w:val="000000"/>
                <w:szCs w:val="21"/>
              </w:rPr>
              <w:t>、食品安全</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63A7D063"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未佩戴手套/口罩处理食品，食品操作区有交叉污染（如生熟混放），一次扣</w:t>
            </w:r>
            <w:r>
              <w:rPr>
                <w:rFonts w:ascii="仿宋" w:eastAsia="仿宋" w:hAnsi="仿宋" w:cs="仿宋"/>
                <w:color w:val="000000"/>
                <w:szCs w:val="21"/>
              </w:rPr>
              <w:t>2</w:t>
            </w:r>
            <w:r>
              <w:rPr>
                <w:rFonts w:ascii="仿宋" w:eastAsia="仿宋" w:hAnsi="仿宋" w:cs="仿宋" w:hint="eastAsia"/>
                <w:color w:val="000000"/>
                <w:szCs w:val="21"/>
              </w:rPr>
              <w:t>分</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48984CD8"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3557AD75"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71FE7A26"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2D0D4E45"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color w:val="000000"/>
                <w:szCs w:val="21"/>
              </w:rPr>
              <w:t>3</w:t>
            </w:r>
            <w:r>
              <w:rPr>
                <w:rFonts w:ascii="仿宋" w:eastAsia="仿宋" w:hAnsi="仿宋" w:cs="仿宋" w:hint="eastAsia"/>
                <w:color w:val="000000"/>
                <w:szCs w:val="21"/>
              </w:rPr>
              <w:t>、消防安全</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5359457C"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未检查灭火器有效期或安全通道堵塞，扣5分</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051B1CE8"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2A8F486D"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6367179D" w14:textId="77777777">
        <w:trPr>
          <w:tblCellSpacing w:w="0" w:type="dxa"/>
        </w:trPr>
        <w:tc>
          <w:tcPr>
            <w:tcW w:w="1106"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6B0E3EA9"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4、应急响应</w:t>
            </w:r>
          </w:p>
        </w:tc>
        <w:tc>
          <w:tcPr>
            <w:tcW w:w="2478" w:type="pct"/>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7EAECE02"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一次应急超1小时未响应扣10分，并依次递增</w:t>
            </w:r>
          </w:p>
        </w:tc>
        <w:tc>
          <w:tcPr>
            <w:tcW w:w="684"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452D9FBC" w14:textId="77777777" w:rsidR="005B0310" w:rsidRDefault="005B0310">
            <w:pPr>
              <w:widowControl/>
              <w:spacing w:before="100" w:beforeAutospacing="1" w:after="100" w:afterAutospacing="1"/>
              <w:jc w:val="left"/>
              <w:rPr>
                <w:rFonts w:ascii="仿宋" w:eastAsia="仿宋" w:hAnsi="仿宋" w:cs="仿宋"/>
                <w:color w:val="000000"/>
                <w:szCs w:val="21"/>
              </w:rPr>
            </w:pPr>
          </w:p>
        </w:tc>
        <w:tc>
          <w:tcPr>
            <w:tcW w:w="730" w:type="pct"/>
            <w:tcBorders>
              <w:top w:val="single" w:sz="6" w:space="0" w:color="080000"/>
              <w:left w:val="single" w:sz="6" w:space="0" w:color="080000"/>
              <w:bottom w:val="single" w:sz="6" w:space="0" w:color="080000"/>
              <w:right w:val="single" w:sz="6" w:space="0" w:color="080000"/>
            </w:tcBorders>
            <w:tcMar>
              <w:left w:w="108" w:type="dxa"/>
              <w:right w:w="108" w:type="dxa"/>
            </w:tcMar>
            <w:vAlign w:val="bottom"/>
          </w:tcPr>
          <w:p w14:paraId="4A00CC8B" w14:textId="77777777" w:rsidR="005B0310" w:rsidRDefault="005B0310">
            <w:pPr>
              <w:widowControl/>
              <w:spacing w:before="100" w:beforeAutospacing="1" w:after="100" w:afterAutospacing="1"/>
              <w:jc w:val="left"/>
              <w:rPr>
                <w:rFonts w:ascii="仿宋" w:eastAsia="仿宋" w:hAnsi="仿宋" w:cs="仿宋"/>
                <w:color w:val="000000"/>
                <w:szCs w:val="21"/>
              </w:rPr>
            </w:pPr>
          </w:p>
        </w:tc>
      </w:tr>
      <w:tr w:rsidR="005B0310" w14:paraId="32AA14A0" w14:textId="77777777">
        <w:trPr>
          <w:tblCellSpacing w:w="0" w:type="dxa"/>
        </w:trPr>
        <w:tc>
          <w:tcPr>
            <w:tcW w:w="5000" w:type="pct"/>
            <w:gridSpan w:val="4"/>
            <w:tcBorders>
              <w:top w:val="single" w:sz="6" w:space="0" w:color="080000"/>
              <w:left w:val="single" w:sz="6" w:space="0" w:color="080000"/>
              <w:bottom w:val="single" w:sz="6" w:space="0" w:color="080000"/>
              <w:right w:val="single" w:sz="6" w:space="0" w:color="080000"/>
            </w:tcBorders>
            <w:tcMar>
              <w:left w:w="108" w:type="dxa"/>
              <w:right w:w="108" w:type="dxa"/>
            </w:tcMar>
            <w:vAlign w:val="center"/>
          </w:tcPr>
          <w:p w14:paraId="3571D400" w14:textId="77777777" w:rsidR="005B0310" w:rsidRDefault="00E55F00">
            <w:pPr>
              <w:widowControl/>
              <w:spacing w:before="100" w:beforeAutospacing="1" w:after="100" w:afterAutospacing="1"/>
              <w:jc w:val="left"/>
              <w:rPr>
                <w:rFonts w:ascii="仿宋" w:eastAsia="仿宋" w:hAnsi="仿宋" w:cs="仿宋"/>
                <w:color w:val="000000"/>
                <w:szCs w:val="21"/>
              </w:rPr>
            </w:pPr>
            <w:r>
              <w:rPr>
                <w:rFonts w:ascii="仿宋" w:eastAsia="仿宋" w:hAnsi="仿宋" w:cs="仿宋" w:hint="eastAsia"/>
                <w:color w:val="000000"/>
                <w:szCs w:val="21"/>
              </w:rPr>
              <w:t>说明：1.采购人每季度将按照标准进行评议，“满分100分，80分以下为不合格，80-</w:t>
            </w:r>
            <w:r>
              <w:rPr>
                <w:rFonts w:ascii="仿宋" w:eastAsia="仿宋" w:hAnsi="仿宋" w:cs="仿宋"/>
                <w:color w:val="000000"/>
                <w:szCs w:val="21"/>
              </w:rPr>
              <w:t>89</w:t>
            </w:r>
            <w:r>
              <w:rPr>
                <w:rFonts w:ascii="仿宋" w:eastAsia="仿宋" w:hAnsi="仿宋" w:cs="仿宋" w:hint="eastAsia"/>
                <w:color w:val="000000"/>
                <w:szCs w:val="21"/>
              </w:rPr>
              <w:t>分为良好，90分及以上为优秀”，2.如出现以下情况，直接视为考核不合格，终止合同：（1）因食品质量引发食品安全事故；（2）在服务期限内年度累计两次被采购人考评为不合格的且整改不到位的。</w:t>
            </w:r>
          </w:p>
        </w:tc>
      </w:tr>
    </w:tbl>
    <w:p w14:paraId="0386A56C" w14:textId="77777777" w:rsidR="005B0310" w:rsidRDefault="005B0310">
      <w:pPr>
        <w:widowControl/>
        <w:jc w:val="left"/>
        <w:rPr>
          <w:rFonts w:ascii="Calibri" w:eastAsia="宋体" w:hAnsi="Calibri" w:cs="Times New Roman"/>
          <w:color w:val="000000"/>
          <w:szCs w:val="24"/>
        </w:rPr>
      </w:pPr>
    </w:p>
    <w:p w14:paraId="5AD79AF4" w14:textId="77777777" w:rsidR="005B0310" w:rsidRDefault="005B0310">
      <w:pPr>
        <w:widowControl/>
        <w:jc w:val="left"/>
        <w:rPr>
          <w:rFonts w:ascii="Calibri" w:eastAsia="宋体" w:hAnsi="Calibri" w:cs="Times New Roman"/>
          <w:color w:val="000000"/>
          <w:szCs w:val="24"/>
        </w:rPr>
      </w:pPr>
    </w:p>
    <w:p w14:paraId="489C93B4" w14:textId="77777777" w:rsidR="005B0310" w:rsidRDefault="005B0310">
      <w:pPr>
        <w:widowControl/>
        <w:jc w:val="left"/>
        <w:rPr>
          <w:rFonts w:ascii="Calibri" w:eastAsia="宋体" w:hAnsi="Calibri" w:cs="Times New Roman"/>
          <w:color w:val="000000"/>
          <w:szCs w:val="24"/>
        </w:rPr>
      </w:pPr>
    </w:p>
    <w:p w14:paraId="40C98A41" w14:textId="77777777" w:rsidR="005B0310" w:rsidRDefault="005B0310">
      <w:pPr>
        <w:widowControl/>
        <w:jc w:val="left"/>
        <w:rPr>
          <w:rFonts w:ascii="Calibri" w:eastAsia="宋体" w:hAnsi="Calibri" w:cs="Times New Roman"/>
          <w:color w:val="000000"/>
          <w:szCs w:val="24"/>
        </w:rPr>
      </w:pPr>
    </w:p>
    <w:p w14:paraId="73B532E6" w14:textId="77777777" w:rsidR="005B0310" w:rsidRDefault="005B0310">
      <w:pPr>
        <w:widowControl/>
        <w:jc w:val="left"/>
        <w:rPr>
          <w:rFonts w:ascii="Calibri" w:eastAsia="宋体" w:hAnsi="Calibri" w:cs="Times New Roman"/>
          <w:color w:val="000000"/>
          <w:szCs w:val="24"/>
        </w:rPr>
        <w:sectPr w:rsidR="005B0310">
          <w:pgSz w:w="11906" w:h="16838"/>
          <w:pgMar w:top="1440" w:right="1800" w:bottom="1440" w:left="1800" w:header="851" w:footer="992" w:gutter="0"/>
          <w:cols w:space="425"/>
          <w:docGrid w:type="lines" w:linePitch="312"/>
        </w:sectPr>
      </w:pPr>
    </w:p>
    <w:p w14:paraId="7B0B81C6" w14:textId="77777777" w:rsidR="005B0310" w:rsidRDefault="005B0310">
      <w:pPr>
        <w:rPr>
          <w:rFonts w:ascii="Calibri" w:eastAsia="宋体" w:hAnsi="Calibri" w:cs="Times New Roman"/>
          <w:color w:val="000000"/>
          <w:szCs w:val="24"/>
        </w:rPr>
      </w:pPr>
    </w:p>
    <w:p w14:paraId="01A256D0" w14:textId="77777777" w:rsidR="005B0310" w:rsidRDefault="00E55F00">
      <w:pPr>
        <w:widowControl/>
        <w:spacing w:line="360" w:lineRule="auto"/>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便利店店不合格事件处罚标准明细表(日常管理)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3"/>
        <w:gridCol w:w="1440"/>
        <w:gridCol w:w="2344"/>
        <w:gridCol w:w="1340"/>
        <w:gridCol w:w="2489"/>
      </w:tblGrid>
      <w:tr w:rsidR="005B0310" w14:paraId="0CC554C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1F7279C"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检查项目</w:t>
            </w: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7C1E145"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检查内容</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42842CD"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不合格情况</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194E7B5"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罚款金额</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EAD2DB3"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整改要求</w:t>
            </w:r>
          </w:p>
        </w:tc>
      </w:tr>
      <w:tr w:rsidR="005B0310" w14:paraId="5910168C" w14:textId="77777777">
        <w:trPr>
          <w:trHeight w:val="192"/>
          <w:jc w:val="center"/>
        </w:trPr>
        <w:tc>
          <w:tcPr>
            <w:tcW w:w="0" w:type="auto"/>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0AF1BF06"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卫生检查</w:t>
            </w:r>
          </w:p>
        </w:tc>
        <w:tc>
          <w:tcPr>
            <w:tcW w:w="1440" w:type="dxa"/>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4540CFB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食品加工区域清洁度</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FF6638E"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加工台面有污渍、垃圾未及时清理</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952172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200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8A1EC4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立即清理，保持加工台面清洁</w:t>
            </w:r>
          </w:p>
        </w:tc>
      </w:tr>
      <w:tr w:rsidR="005B0310" w14:paraId="37FCC8A0" w14:textId="77777777">
        <w:trPr>
          <w:trHeight w:val="419"/>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1CE4B297"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tcBorders>
              <w:left w:val="single" w:sz="4" w:space="0" w:color="auto"/>
              <w:right w:val="single" w:sz="4" w:space="0" w:color="auto"/>
            </w:tcBorders>
            <w:tcMar>
              <w:top w:w="60" w:type="dxa"/>
              <w:left w:w="120" w:type="dxa"/>
              <w:bottom w:w="30" w:type="dxa"/>
              <w:right w:w="120" w:type="dxa"/>
            </w:tcMar>
            <w:vAlign w:val="center"/>
          </w:tcPr>
          <w:p w14:paraId="301A9C4C" w14:textId="77777777" w:rsidR="005B0310" w:rsidRDefault="005B0310">
            <w:pPr>
              <w:widowControl/>
              <w:spacing w:line="280" w:lineRule="exact"/>
              <w:jc w:val="center"/>
              <w:rPr>
                <w:rFonts w:ascii="仿宋" w:eastAsia="仿宋" w:hAnsi="仿宋" w:cs="仿宋"/>
                <w:bCs/>
                <w:color w:val="000000"/>
                <w:szCs w:val="21"/>
              </w:rPr>
            </w:pP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0E4DABC5"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食品加工设备未定期清洁，有明显污垢</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092FD4AB"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200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7F23926"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立即对设备进行深度清洁，并制定设备清洁计划</w:t>
            </w:r>
          </w:p>
        </w:tc>
      </w:tr>
      <w:tr w:rsidR="005B0310" w14:paraId="7B8D4DF4" w14:textId="77777777">
        <w:trPr>
          <w:trHeight w:val="20"/>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67E05112"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6E82FBC7" w14:textId="77777777" w:rsidR="005B0310" w:rsidRDefault="005B0310">
            <w:pPr>
              <w:widowControl/>
              <w:spacing w:line="280" w:lineRule="exact"/>
              <w:jc w:val="center"/>
              <w:rPr>
                <w:rFonts w:ascii="仿宋" w:eastAsia="仿宋" w:hAnsi="仿宋" w:cs="仿宋"/>
                <w:bCs/>
                <w:color w:val="000000"/>
                <w:szCs w:val="21"/>
              </w:rPr>
            </w:pP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875541D"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地面有积水、油污，易滑倒</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019C6B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200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E886754"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及时清理积水、油污，保持地面干燥清洁</w:t>
            </w:r>
          </w:p>
        </w:tc>
      </w:tr>
      <w:tr w:rsidR="005B0310" w14:paraId="0680B115" w14:textId="77777777">
        <w:trPr>
          <w:trHeight w:val="20"/>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54913B36"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6005D0F8"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店内环境整洁度</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0DB2004"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店内杂物堆积，影响顾客通行和观感</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25B51E3A"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200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0545761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清理杂物，保持店内环境整洁有序</w:t>
            </w:r>
          </w:p>
        </w:tc>
      </w:tr>
      <w:tr w:rsidR="005B0310" w14:paraId="385D6474" w14:textId="77777777">
        <w:trPr>
          <w:trHeight w:val="20"/>
          <w:jc w:val="center"/>
        </w:trPr>
        <w:tc>
          <w:tcPr>
            <w:tcW w:w="0" w:type="auto"/>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5ED59360"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4880199D" w14:textId="77777777" w:rsidR="005B0310" w:rsidRDefault="005B0310">
            <w:pPr>
              <w:widowControl/>
              <w:spacing w:line="280" w:lineRule="exact"/>
              <w:jc w:val="center"/>
              <w:rPr>
                <w:rFonts w:ascii="仿宋" w:eastAsia="仿宋" w:hAnsi="仿宋" w:cs="仿宋"/>
                <w:bCs/>
                <w:color w:val="000000"/>
                <w:szCs w:val="21"/>
              </w:rPr>
            </w:pP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09809954"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垃圾桶未及时清理，垃圾溢出</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846BAE8"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200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0398696"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及时清理垃圾桶，保持垃圾桶外观清洁</w:t>
            </w:r>
          </w:p>
        </w:tc>
      </w:tr>
      <w:tr w:rsidR="005B0310" w14:paraId="779B1072" w14:textId="77777777">
        <w:trPr>
          <w:trHeight w:val="20"/>
          <w:jc w:val="center"/>
        </w:trPr>
        <w:tc>
          <w:tcPr>
            <w:tcW w:w="0" w:type="auto"/>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0903D7D9"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服务检查</w:t>
            </w: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A0884DB"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服务态度</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58C7850B"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员工对顾客态度恶劣，出现争吵等情况</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94F56FB"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500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207E6226"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对涉事员工进行批评教育，加强员工服务培训</w:t>
            </w:r>
          </w:p>
        </w:tc>
      </w:tr>
      <w:tr w:rsidR="005B0310" w14:paraId="495EBB5A" w14:textId="77777777">
        <w:trPr>
          <w:trHeight w:val="20"/>
          <w:jc w:val="center"/>
        </w:trPr>
        <w:tc>
          <w:tcPr>
            <w:tcW w:w="0" w:type="auto"/>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7DAC4175" w14:textId="77777777" w:rsidR="005B0310" w:rsidRDefault="005B0310">
            <w:pPr>
              <w:widowControl/>
              <w:spacing w:line="280" w:lineRule="exact"/>
              <w:jc w:val="center"/>
              <w:rPr>
                <w:rFonts w:ascii="仿宋" w:eastAsia="仿宋" w:hAnsi="仿宋" w:cs="仿宋"/>
                <w:bCs/>
                <w:color w:val="000000"/>
                <w:szCs w:val="21"/>
              </w:rPr>
            </w:pP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E410D13"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服务效率</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E897016"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顾客等待时间过长，饮品制作、点餐等服务效率低下</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0767BA1"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200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DB71BF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优化服务流程，合理安排员工工作，提高服务效率</w:t>
            </w:r>
          </w:p>
        </w:tc>
      </w:tr>
      <w:tr w:rsidR="005B0310" w14:paraId="087BF053" w14:textId="77777777">
        <w:trPr>
          <w:trHeight w:val="20"/>
          <w:jc w:val="center"/>
        </w:trPr>
        <w:tc>
          <w:tcPr>
            <w:tcW w:w="0" w:type="auto"/>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28453B1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食品安全检查</w:t>
            </w: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00C0509"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食品采购渠道</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840D519"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采购来源不明的食品原料，无法提供供应商资质证明等</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3C442A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500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43156FA"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立即停止使用问题原料，追溯采购源头，完善采购渠道管理</w:t>
            </w:r>
          </w:p>
        </w:tc>
      </w:tr>
      <w:tr w:rsidR="005B0310" w14:paraId="1223220F" w14:textId="77777777">
        <w:trPr>
          <w:trHeight w:val="20"/>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1BE7D004" w14:textId="77777777" w:rsidR="005B0310" w:rsidRDefault="005B0310">
            <w:pPr>
              <w:widowControl/>
              <w:spacing w:line="280" w:lineRule="exact"/>
              <w:jc w:val="center"/>
              <w:rPr>
                <w:rFonts w:ascii="仿宋" w:eastAsia="仿宋" w:hAnsi="仿宋" w:cs="仿宋"/>
                <w:bCs/>
                <w:color w:val="000000"/>
                <w:szCs w:val="21"/>
              </w:rPr>
            </w:pP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A9A5AF1"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食品储存条件</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5BFCD93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食品未按要求进行分类储存，生熟食品混放</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2939B3C"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500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876AFF6"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按照食品安全标准重新分类储存食品，设置明显标识</w:t>
            </w:r>
          </w:p>
        </w:tc>
      </w:tr>
      <w:tr w:rsidR="005B0310" w14:paraId="09E55EC1" w14:textId="77777777">
        <w:trPr>
          <w:trHeight w:val="20"/>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54805A7D"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7D417B30"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食品加工过程</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1BF17A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食品加工过程中存在交叉污染风险，如使用同一刀具处理生熟食品</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5FE515A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500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EE6770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规范食品加工操作流程，严格区分生熟食品加工工具</w:t>
            </w:r>
          </w:p>
        </w:tc>
      </w:tr>
      <w:tr w:rsidR="005B0310" w14:paraId="51CFEE4C" w14:textId="77777777">
        <w:trPr>
          <w:trHeight w:val="20"/>
          <w:jc w:val="center"/>
        </w:trPr>
        <w:tc>
          <w:tcPr>
            <w:tcW w:w="0" w:type="auto"/>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7C561EE7"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687ED44E" w14:textId="77777777" w:rsidR="005B0310" w:rsidRDefault="005B0310">
            <w:pPr>
              <w:widowControl/>
              <w:spacing w:line="280" w:lineRule="exact"/>
              <w:jc w:val="center"/>
              <w:rPr>
                <w:rFonts w:ascii="仿宋" w:eastAsia="仿宋" w:hAnsi="仿宋" w:cs="仿宋"/>
                <w:bCs/>
                <w:color w:val="000000"/>
                <w:szCs w:val="21"/>
              </w:rPr>
            </w:pP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C3BE845"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食品加工人员未按规定穿戴工作服、口罩、帽子等</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BC1DDAD"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200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8F3F6F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要求食品加工人员立即整改，严格遵守食品加工人员卫生规范</w:t>
            </w:r>
          </w:p>
        </w:tc>
      </w:tr>
      <w:tr w:rsidR="005B0310" w14:paraId="219B00AF" w14:textId="77777777">
        <w:trPr>
          <w:trHeight w:val="20"/>
          <w:jc w:val="center"/>
        </w:trPr>
        <w:tc>
          <w:tcPr>
            <w:tcW w:w="0" w:type="auto"/>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76D50D3C"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消防安全检查</w:t>
            </w:r>
          </w:p>
        </w:tc>
        <w:tc>
          <w:tcPr>
            <w:tcW w:w="1440" w:type="dxa"/>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161B8601"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消防设施完整性</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C42A0E4"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消防器材（灭火器、烟感）缺失或损坏</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23B54AD"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1000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B248FF4"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立即补充、修复消防器材，确保消防设施完好有效</w:t>
            </w:r>
          </w:p>
        </w:tc>
      </w:tr>
      <w:tr w:rsidR="005B0310" w14:paraId="06C20563" w14:textId="77777777">
        <w:trPr>
          <w:trHeight w:val="20"/>
          <w:jc w:val="center"/>
        </w:trPr>
        <w:tc>
          <w:tcPr>
            <w:tcW w:w="0" w:type="auto"/>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5DA78013"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10121C22" w14:textId="77777777" w:rsidR="005B0310" w:rsidRDefault="005B0310">
            <w:pPr>
              <w:widowControl/>
              <w:spacing w:line="280" w:lineRule="exact"/>
              <w:jc w:val="center"/>
              <w:rPr>
                <w:rFonts w:ascii="仿宋" w:eastAsia="仿宋" w:hAnsi="仿宋" w:cs="仿宋"/>
                <w:bCs/>
                <w:color w:val="000000"/>
                <w:szCs w:val="21"/>
              </w:rPr>
            </w:pP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5E5EEC8"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消防疏散通道被堵塞，无法正常通行</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6FBDCB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1000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26E3EFB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清理消防疏散通道，确保通道畅通无阻</w:t>
            </w:r>
          </w:p>
        </w:tc>
      </w:tr>
      <w:tr w:rsidR="005B0310" w14:paraId="1A493B43" w14:textId="77777777">
        <w:trPr>
          <w:trHeight w:val="20"/>
          <w:jc w:val="center"/>
        </w:trPr>
        <w:tc>
          <w:tcPr>
            <w:tcW w:w="0" w:type="auto"/>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29643F85"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其他违规行为</w:t>
            </w: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03233A2C"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超范围经营</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5E85BE7"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销售合同规定经营范围外的商品</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533C40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500 </w:t>
            </w:r>
            <w:r>
              <w:rPr>
                <w:rFonts w:ascii="仿宋" w:eastAsia="仿宋" w:hAnsi="仿宋" w:cs="仿宋" w:hint="eastAsia"/>
                <w:bCs/>
                <w:color w:val="000000"/>
                <w:szCs w:val="21"/>
              </w:rPr>
              <w:t>元</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075DDE0"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立即停止超范围经营行为，整改经营项目</w:t>
            </w:r>
          </w:p>
        </w:tc>
      </w:tr>
      <w:tr w:rsidR="005B0310" w14:paraId="2EE03D23" w14:textId="77777777">
        <w:trPr>
          <w:trHeight w:val="20"/>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366197C5" w14:textId="77777777" w:rsidR="005B0310" w:rsidRDefault="005B0310">
            <w:pPr>
              <w:widowControl/>
              <w:spacing w:line="280" w:lineRule="exact"/>
              <w:jc w:val="center"/>
              <w:rPr>
                <w:rFonts w:ascii="仿宋" w:eastAsia="仿宋" w:hAnsi="仿宋" w:cs="仿宋"/>
                <w:bCs/>
                <w:color w:val="000000"/>
                <w:szCs w:val="21"/>
              </w:rPr>
            </w:pP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4C7BD68"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不符合卫生安全标准的过期变质商品</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D421AD9"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销售过期变质食品、饮品</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829545F"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500 </w:t>
            </w:r>
            <w:r>
              <w:rPr>
                <w:rFonts w:ascii="仿宋" w:eastAsia="仿宋" w:hAnsi="仿宋" w:cs="仿宋" w:hint="eastAsia"/>
                <w:bCs/>
                <w:color w:val="000000"/>
                <w:szCs w:val="21"/>
              </w:rPr>
              <w:t>元，并依法依规严肃处理</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76FAFDE7"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立即下架过期变质商品，加强食品保质期管理</w:t>
            </w:r>
          </w:p>
        </w:tc>
      </w:tr>
      <w:tr w:rsidR="005B0310" w14:paraId="328F9928" w14:textId="77777777">
        <w:trPr>
          <w:trHeight w:val="20"/>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5E809B4B" w14:textId="77777777" w:rsidR="005B0310" w:rsidRDefault="005B0310">
            <w:pPr>
              <w:widowControl/>
              <w:spacing w:line="280" w:lineRule="exact"/>
              <w:jc w:val="center"/>
              <w:rPr>
                <w:rFonts w:ascii="仿宋" w:eastAsia="仿宋" w:hAnsi="仿宋" w:cs="仿宋"/>
                <w:bCs/>
                <w:color w:val="000000"/>
                <w:szCs w:val="21"/>
              </w:rPr>
            </w:pPr>
          </w:p>
        </w:tc>
        <w:tc>
          <w:tcPr>
            <w:tcW w:w="14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CB247A9"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违反医院管理规定，多次劝阻仍不改正</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06D255A9"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如噪音扰民、影响医院正常秩序等</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3C7366B"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1000 </w:t>
            </w:r>
            <w:r>
              <w:rPr>
                <w:rFonts w:ascii="仿宋" w:eastAsia="仿宋" w:hAnsi="仿宋" w:cs="仿宋" w:hint="eastAsia"/>
                <w:bCs/>
                <w:color w:val="000000"/>
                <w:szCs w:val="21"/>
              </w:rPr>
              <w:t>元，并有权解除租赁合同</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417582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立即停止违规行为，若再次违反，医院将解除租赁合同</w:t>
            </w:r>
          </w:p>
        </w:tc>
      </w:tr>
      <w:tr w:rsidR="005B0310" w14:paraId="2917C6E1" w14:textId="77777777">
        <w:trPr>
          <w:trHeight w:val="20"/>
          <w:jc w:val="center"/>
        </w:trPr>
        <w:tc>
          <w:tcPr>
            <w:tcW w:w="0" w:type="auto"/>
            <w:vMerge/>
            <w:tcBorders>
              <w:left w:val="single" w:sz="4" w:space="0" w:color="auto"/>
              <w:right w:val="single" w:sz="4" w:space="0" w:color="auto"/>
            </w:tcBorders>
            <w:tcMar>
              <w:top w:w="60" w:type="dxa"/>
              <w:left w:w="120" w:type="dxa"/>
              <w:bottom w:w="30" w:type="dxa"/>
              <w:right w:w="120" w:type="dxa"/>
            </w:tcMar>
            <w:vAlign w:val="center"/>
          </w:tcPr>
          <w:p w14:paraId="5F46C312"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val="restart"/>
            <w:tcBorders>
              <w:top w:val="single" w:sz="4" w:space="0" w:color="auto"/>
              <w:left w:val="single" w:sz="4" w:space="0" w:color="auto"/>
              <w:right w:val="single" w:sz="4" w:space="0" w:color="auto"/>
            </w:tcBorders>
            <w:tcMar>
              <w:top w:w="60" w:type="dxa"/>
              <w:left w:w="120" w:type="dxa"/>
              <w:bottom w:w="30" w:type="dxa"/>
              <w:right w:w="120" w:type="dxa"/>
            </w:tcMar>
            <w:vAlign w:val="center"/>
          </w:tcPr>
          <w:p w14:paraId="676F1352"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因采购原材料质量问题或服务不当导致顾客投诉或食品安全事故</w:t>
            </w: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2E83D3B"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导致顾客身体不适等食品安全事故</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34A2D8D8"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承担全部法律责任和经济赔偿责任，医院有权解除租赁合同</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E758B59"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依法依规处理事故，对受害者进行赔偿，若情节严重，医院解除租赁合同</w:t>
            </w:r>
          </w:p>
        </w:tc>
      </w:tr>
      <w:tr w:rsidR="005B0310" w14:paraId="482ABEE5" w14:textId="77777777">
        <w:trPr>
          <w:trHeight w:val="20"/>
          <w:jc w:val="center"/>
        </w:trPr>
        <w:tc>
          <w:tcPr>
            <w:tcW w:w="0" w:type="auto"/>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12054579" w14:textId="77777777" w:rsidR="005B0310" w:rsidRDefault="005B0310">
            <w:pPr>
              <w:widowControl/>
              <w:spacing w:line="280" w:lineRule="exact"/>
              <w:jc w:val="center"/>
              <w:rPr>
                <w:rFonts w:ascii="仿宋" w:eastAsia="仿宋" w:hAnsi="仿宋" w:cs="仿宋"/>
                <w:bCs/>
                <w:color w:val="000000"/>
                <w:szCs w:val="21"/>
              </w:rPr>
            </w:pPr>
          </w:p>
        </w:tc>
        <w:tc>
          <w:tcPr>
            <w:tcW w:w="1440" w:type="dxa"/>
            <w:vMerge/>
            <w:tcBorders>
              <w:left w:val="single" w:sz="4" w:space="0" w:color="auto"/>
              <w:bottom w:val="single" w:sz="4" w:space="0" w:color="auto"/>
              <w:right w:val="single" w:sz="4" w:space="0" w:color="auto"/>
            </w:tcBorders>
            <w:tcMar>
              <w:top w:w="60" w:type="dxa"/>
              <w:left w:w="120" w:type="dxa"/>
              <w:bottom w:w="30" w:type="dxa"/>
              <w:right w:w="120" w:type="dxa"/>
            </w:tcMar>
            <w:vAlign w:val="center"/>
          </w:tcPr>
          <w:p w14:paraId="1219C59E" w14:textId="77777777" w:rsidR="005B0310" w:rsidRDefault="005B0310">
            <w:pPr>
              <w:widowControl/>
              <w:spacing w:line="280" w:lineRule="exact"/>
              <w:jc w:val="center"/>
              <w:rPr>
                <w:rFonts w:ascii="仿宋" w:eastAsia="仿宋" w:hAnsi="仿宋" w:cs="仿宋"/>
                <w:bCs/>
                <w:color w:val="000000"/>
                <w:szCs w:val="21"/>
              </w:rPr>
            </w:pPr>
          </w:p>
        </w:tc>
        <w:tc>
          <w:tcPr>
            <w:tcW w:w="2344"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49C31D43"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hint="eastAsia"/>
                <w:bCs/>
                <w:color w:val="000000"/>
                <w:szCs w:val="21"/>
              </w:rPr>
              <w:t>顾客投诉经核实为咖啡店责任</w:t>
            </w:r>
          </w:p>
        </w:tc>
        <w:tc>
          <w:tcPr>
            <w:tcW w:w="1340"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1C697C40" w14:textId="77777777" w:rsidR="005B0310" w:rsidRDefault="00E55F00">
            <w:pPr>
              <w:widowControl/>
              <w:spacing w:line="280" w:lineRule="exact"/>
              <w:jc w:val="center"/>
              <w:rPr>
                <w:rFonts w:ascii="仿宋" w:eastAsia="仿宋" w:hAnsi="仿宋" w:cs="仿宋"/>
                <w:bCs/>
                <w:color w:val="000000"/>
                <w:szCs w:val="21"/>
              </w:rPr>
            </w:pPr>
            <w:r>
              <w:rPr>
                <w:rFonts w:ascii="仿宋" w:eastAsia="仿宋" w:hAnsi="仿宋" w:cs="仿宋"/>
                <w:bCs/>
                <w:color w:val="000000"/>
                <w:szCs w:val="21"/>
              </w:rPr>
              <w:t xml:space="preserve">500 </w:t>
            </w:r>
            <w:r>
              <w:rPr>
                <w:rFonts w:ascii="仿宋" w:eastAsia="仿宋" w:hAnsi="仿宋" w:cs="仿宋" w:hint="eastAsia"/>
                <w:bCs/>
                <w:color w:val="000000"/>
                <w:szCs w:val="21"/>
              </w:rPr>
              <w:t>元，并根据投诉情况整改</w:t>
            </w:r>
          </w:p>
        </w:tc>
        <w:tc>
          <w:tcPr>
            <w:tcW w:w="2489" w:type="dxa"/>
            <w:tcBorders>
              <w:top w:val="single" w:sz="4" w:space="0" w:color="auto"/>
              <w:left w:val="single" w:sz="4" w:space="0" w:color="auto"/>
              <w:bottom w:val="single" w:sz="4" w:space="0" w:color="auto"/>
              <w:right w:val="single" w:sz="4" w:space="0" w:color="auto"/>
            </w:tcBorders>
            <w:tcMar>
              <w:top w:w="60" w:type="dxa"/>
              <w:left w:w="120" w:type="dxa"/>
              <w:bottom w:w="30" w:type="dxa"/>
              <w:right w:w="120" w:type="dxa"/>
            </w:tcMar>
            <w:vAlign w:val="center"/>
          </w:tcPr>
          <w:p w14:paraId="64D68FCC" w14:textId="77777777" w:rsidR="005B0310" w:rsidRDefault="00E55F00">
            <w:pPr>
              <w:widowControl/>
              <w:spacing w:line="240" w:lineRule="atLeast"/>
              <w:jc w:val="center"/>
              <w:rPr>
                <w:rFonts w:ascii="仿宋" w:eastAsia="仿宋" w:hAnsi="仿宋" w:cs="仿宋"/>
                <w:bCs/>
                <w:color w:val="000000"/>
                <w:szCs w:val="21"/>
              </w:rPr>
            </w:pPr>
            <w:r>
              <w:rPr>
                <w:rFonts w:ascii="仿宋" w:eastAsia="仿宋" w:hAnsi="仿宋" w:cs="仿宋" w:hint="eastAsia"/>
                <w:bCs/>
                <w:color w:val="000000"/>
                <w:szCs w:val="21"/>
              </w:rPr>
              <w:t>及时处理顾客投诉，采取有效措施避免类似问题再次发生</w:t>
            </w:r>
          </w:p>
        </w:tc>
      </w:tr>
    </w:tbl>
    <w:p w14:paraId="31B6FDC0" w14:textId="77777777" w:rsidR="005B0310" w:rsidRPr="000C2EBA" w:rsidRDefault="005B0310">
      <w:pPr>
        <w:pStyle w:val="a3"/>
        <w:ind w:firstLine="480"/>
        <w:jc w:val="center"/>
        <w:rPr>
          <w:rFonts w:eastAsia="方正仿宋_GBK"/>
          <w:sz w:val="24"/>
          <w:szCs w:val="24"/>
        </w:rPr>
      </w:pPr>
      <w:bookmarkStart w:id="0" w:name="_GoBack"/>
      <w:bookmarkEnd w:id="0"/>
    </w:p>
    <w:sectPr w:rsidR="005B0310" w:rsidRPr="000C2EBA">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FC21B" w14:textId="77777777" w:rsidR="00217D16" w:rsidRDefault="00217D16" w:rsidP="001F075D">
      <w:r>
        <w:separator/>
      </w:r>
    </w:p>
  </w:endnote>
  <w:endnote w:type="continuationSeparator" w:id="0">
    <w:p w14:paraId="2293F2A7" w14:textId="77777777" w:rsidR="00217D16" w:rsidRDefault="00217D16" w:rsidP="001F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B4AD" w14:textId="77777777" w:rsidR="00217D16" w:rsidRDefault="00217D16" w:rsidP="001F075D">
      <w:r>
        <w:separator/>
      </w:r>
    </w:p>
  </w:footnote>
  <w:footnote w:type="continuationSeparator" w:id="0">
    <w:p w14:paraId="36D325CA" w14:textId="77777777" w:rsidR="00217D16" w:rsidRDefault="00217D16" w:rsidP="001F0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10"/>
    <w:rsid w:val="000C2EBA"/>
    <w:rsid w:val="001F075D"/>
    <w:rsid w:val="00217D16"/>
    <w:rsid w:val="005544FE"/>
    <w:rsid w:val="005B0310"/>
    <w:rsid w:val="007358A9"/>
    <w:rsid w:val="00E55F00"/>
    <w:rsid w:val="021138F7"/>
    <w:rsid w:val="03447819"/>
    <w:rsid w:val="05EF37C5"/>
    <w:rsid w:val="07C4574A"/>
    <w:rsid w:val="08D315E7"/>
    <w:rsid w:val="0BBD7EE5"/>
    <w:rsid w:val="0F88784E"/>
    <w:rsid w:val="10F8577E"/>
    <w:rsid w:val="11B61DC5"/>
    <w:rsid w:val="142474B9"/>
    <w:rsid w:val="18F7080D"/>
    <w:rsid w:val="21DE514B"/>
    <w:rsid w:val="22806203"/>
    <w:rsid w:val="3291620A"/>
    <w:rsid w:val="469618BE"/>
    <w:rsid w:val="47C87B80"/>
    <w:rsid w:val="49543DC1"/>
    <w:rsid w:val="4DE13654"/>
    <w:rsid w:val="4FA113E3"/>
    <w:rsid w:val="52112442"/>
    <w:rsid w:val="56F444EE"/>
    <w:rsid w:val="59B9557B"/>
    <w:rsid w:val="5BA835E7"/>
    <w:rsid w:val="5CF95962"/>
    <w:rsid w:val="5E13627E"/>
    <w:rsid w:val="5E6A32E8"/>
    <w:rsid w:val="5E7D301B"/>
    <w:rsid w:val="668B199B"/>
    <w:rsid w:val="67632C32"/>
    <w:rsid w:val="69BD23B6"/>
    <w:rsid w:val="71B96608"/>
    <w:rsid w:val="75C93EDB"/>
    <w:rsid w:val="785D6A87"/>
    <w:rsid w:val="792C76C0"/>
    <w:rsid w:val="7C7F3FAA"/>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0034"/>
  <w15:docId w15:val="{810E08E3-7AC7-4378-A7D9-BE1F2E8C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next w:val="a"/>
    <w:qFormat/>
    <w:pPr>
      <w:spacing w:before="380" w:after="140" w:line="288" w:lineRule="auto"/>
      <w:outlineLvl w:val="0"/>
    </w:pPr>
    <w:rPr>
      <w:rFonts w:ascii="Arial" w:eastAsia="等线" w:hAnsi="Arial" w:cs="Arial"/>
      <w:b/>
      <w:bCs/>
      <w:sz w:val="36"/>
      <w:szCs w:val="36"/>
    </w:rPr>
  </w:style>
  <w:style w:type="paragraph" w:styleId="2">
    <w:name w:val="heading 2"/>
    <w:next w:val="a"/>
    <w:qFormat/>
    <w:pPr>
      <w:spacing w:before="320" w:after="120" w:line="288" w:lineRule="auto"/>
      <w:outlineLvl w:val="1"/>
    </w:pPr>
    <w:rPr>
      <w:rFonts w:ascii="Arial" w:eastAsia="等线" w:hAnsi="Arial" w:cs="Arial"/>
      <w:b/>
      <w:bCs/>
      <w:sz w:val="32"/>
      <w:szCs w:val="32"/>
    </w:rPr>
  </w:style>
  <w:style w:type="paragraph" w:styleId="3">
    <w:name w:val="heading 3"/>
    <w:next w:val="a"/>
    <w:qFormat/>
    <w:pPr>
      <w:spacing w:before="300" w:after="120" w:line="288" w:lineRule="auto"/>
      <w:outlineLvl w:val="2"/>
    </w:pPr>
    <w:rPr>
      <w:rFonts w:ascii="Arial" w:eastAsia="等线" w:hAnsi="Arial" w:cs="Arial"/>
      <w:b/>
      <w:bCs/>
      <w:sz w:val="30"/>
      <w:szCs w:val="30"/>
    </w:rPr>
  </w:style>
  <w:style w:type="paragraph" w:styleId="4">
    <w:name w:val="heading 4"/>
    <w:next w:val="a"/>
    <w:qFormat/>
    <w:pPr>
      <w:spacing w:before="260" w:after="120" w:line="288" w:lineRule="auto"/>
      <w:outlineLvl w:val="3"/>
    </w:pPr>
    <w:rPr>
      <w:rFonts w:ascii="Arial" w:eastAsia="等线" w:hAnsi="Arial" w:cs="Arial"/>
      <w:b/>
      <w:bCs/>
      <w:sz w:val="28"/>
      <w:szCs w:val="28"/>
    </w:rPr>
  </w:style>
  <w:style w:type="paragraph" w:styleId="5">
    <w:name w:val="heading 5"/>
    <w:next w:val="a"/>
    <w:qFormat/>
    <w:pPr>
      <w:spacing w:before="240" w:after="120" w:line="288" w:lineRule="auto"/>
      <w:outlineLvl w:val="4"/>
    </w:pPr>
    <w:rPr>
      <w:rFonts w:ascii="Arial" w:eastAsia="等线" w:hAnsi="Arial" w:cs="Arial"/>
      <w:b/>
      <w:bCs/>
      <w:sz w:val="24"/>
      <w:szCs w:val="24"/>
    </w:rPr>
  </w:style>
  <w:style w:type="paragraph" w:styleId="6">
    <w:name w:val="heading 6"/>
    <w:next w:val="a"/>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firstLineChars="200" w:firstLine="200"/>
    </w:pPr>
    <w:rPr>
      <w:rFonts w:ascii="Calibri"/>
    </w:rPr>
  </w:style>
  <w:style w:type="paragraph" w:styleId="a4">
    <w:name w:val="footer"/>
    <w:basedOn w:val="a"/>
    <w:qFormat/>
    <w:pPr>
      <w:tabs>
        <w:tab w:val="center" w:pos="4153"/>
        <w:tab w:val="right" w:pos="8306"/>
      </w:tabs>
      <w:snapToGrid w:val="0"/>
      <w:jc w:val="left"/>
    </w:pPr>
    <w:rPr>
      <w:sz w:val="18"/>
      <w:szCs w:val="18"/>
    </w:rPr>
  </w:style>
  <w:style w:type="paragraph" w:styleId="a5">
    <w:name w:val="footnote text"/>
    <w:link w:val="a6"/>
    <w:uiPriority w:val="99"/>
    <w:semiHidden/>
    <w:unhideWhenUsed/>
    <w:qFormat/>
    <w:rPr>
      <w:rFonts w:asciiTheme="minorHAnsi" w:eastAsiaTheme="minorEastAsia" w:hAnsiTheme="minorHAnsi" w:cstheme="minorBidi"/>
    </w:rPr>
  </w:style>
  <w:style w:type="paragraph" w:styleId="a7">
    <w:name w:val="Title"/>
    <w:qFormat/>
    <w:pPr>
      <w:spacing w:before="480" w:after="480" w:line="288" w:lineRule="auto"/>
    </w:pPr>
    <w:rPr>
      <w:rFonts w:ascii="Arial" w:eastAsia="等线" w:hAnsi="Arial" w:cs="Arial"/>
      <w:b/>
      <w:bCs/>
      <w:sz w:val="52"/>
      <w:szCs w:val="5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uiPriority w:val="99"/>
    <w:unhideWhenUsed/>
    <w:qFormat/>
    <w:rPr>
      <w:color w:val="0563C1"/>
      <w:u w:val="single"/>
    </w:rPr>
  </w:style>
  <w:style w:type="character" w:styleId="ab">
    <w:name w:val="footnote reference"/>
    <w:uiPriority w:val="99"/>
    <w:semiHidden/>
    <w:unhideWhenUsed/>
    <w:qFormat/>
    <w:rPr>
      <w:vertAlign w:val="superscript"/>
    </w:rPr>
  </w:style>
  <w:style w:type="paragraph" w:styleId="ac">
    <w:name w:val="List Paragraph"/>
    <w:qFormat/>
    <w:rPr>
      <w:rFonts w:asciiTheme="minorHAnsi" w:eastAsiaTheme="minorEastAsia" w:hAnsiTheme="minorHAnsi" w:cstheme="minorBidi"/>
      <w:sz w:val="21"/>
      <w:szCs w:val="22"/>
    </w:rPr>
  </w:style>
  <w:style w:type="character" w:customStyle="1" w:styleId="a6">
    <w:name w:val="脚注文本 字符"/>
    <w:link w:val="a5"/>
    <w:uiPriority w:val="99"/>
    <w:semiHidden/>
    <w:unhideWhenUsed/>
    <w:qFormat/>
    <w:rPr>
      <w:sz w:val="20"/>
      <w:szCs w:val="20"/>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Style14">
    <w:name w:val="_Style 14"/>
    <w:qFormat/>
    <w:pPr>
      <w:spacing w:before="120" w:after="120" w:line="288" w:lineRule="auto"/>
    </w:pPr>
    <w:rPr>
      <w:rFonts w:ascii="Arial" w:eastAsia="等线" w:hAnsi="Arial" w:cs="Arial"/>
      <w:color w:val="8F959E"/>
      <w:sz w:val="22"/>
      <w:szCs w:val="22"/>
    </w:rPr>
  </w:style>
  <w:style w:type="table" w:customStyle="1" w:styleId="21">
    <w:name w:val="网格型2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spacing w:line="360" w:lineRule="auto"/>
      <w:ind w:firstLineChars="200" w:firstLine="200"/>
    </w:pPr>
  </w:style>
  <w:style w:type="paragraph" w:styleId="ae">
    <w:name w:val="header"/>
    <w:basedOn w:val="a"/>
    <w:link w:val="af"/>
    <w:rsid w:val="001F075D"/>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rsid w:val="001F075D"/>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zeng</cp:lastModifiedBy>
  <cp:revision>4</cp:revision>
  <cp:lastPrinted>2025-06-24T07:33:00Z</cp:lastPrinted>
  <dcterms:created xsi:type="dcterms:W3CDTF">2025-07-22T09:25:00Z</dcterms:created>
  <dcterms:modified xsi:type="dcterms:W3CDTF">2025-07-22T09:28:00Z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eyJoZGlkIjoiMWJjN2ZlYjVlY2MxOWRkMjQ1ZDdkYjQ2OWFmYmFkNTAiLCJ1c2VySWQiOiI1NTEwMTIxNjQifQ==</vt:lpwstr>
  </property>
  <property fmtid="{D5CDD505-2E9C-101B-9397-08002B2CF9AE}" pid="3" name="KSOProductBuildVer">
    <vt:lpwstr>2052-12.1.0.21541</vt:lpwstr>
  </property>
  <property fmtid="{D5CDD505-2E9C-101B-9397-08002B2CF9AE}" pid="4" name="ICV">
    <vt:lpwstr>B0A3EE320A5D47889E4673172DB78AC5_13</vt:lpwstr>
  </property>
</Properties>
</file>