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ascii="仿宋" w:hAnsi="仿宋" w:eastAsia="仿宋"/>
          <w:color w:val="000000"/>
          <w:sz w:val="28"/>
          <w:szCs w:val="28"/>
        </w:rPr>
      </w:pPr>
      <w:bookmarkStart w:id="0" w:name="_Toc15306267"/>
      <w:r>
        <w:rPr>
          <w:rFonts w:hint="eastAsia" w:ascii="仿宋" w:hAnsi="仿宋" w:eastAsia="仿宋"/>
          <w:color w:val="000000"/>
          <w:sz w:val="28"/>
          <w:szCs w:val="28"/>
        </w:rPr>
        <w:t>附件1</w:t>
      </w: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425"/>
      <w:bookmarkStart w:id="3" w:name="_Toc15378441"/>
      <w:bookmarkStart w:id="4" w:name="_Toc15396597"/>
      <w:bookmarkStart w:id="5" w:name="_Toc15377193"/>
      <w:r>
        <w:rPr>
          <w:rFonts w:ascii="黑体" w:hAnsi="黑体" w:eastAsia="黑体"/>
          <w:color w:val="000000"/>
          <w:sz w:val="72"/>
          <w:szCs w:val="72"/>
        </w:rPr>
        <w:t>20</w:t>
      </w:r>
      <w:r>
        <w:rPr>
          <w:rFonts w:hint="eastAsia" w:ascii="黑体" w:hAnsi="黑体" w:eastAsia="黑体"/>
          <w:color w:val="000000"/>
          <w:sz w:val="72"/>
          <w:szCs w:val="72"/>
        </w:rPr>
        <w:t>21</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06268"/>
      <w:bookmarkStart w:id="8" w:name="_Toc15378442"/>
      <w:bookmarkStart w:id="9" w:name="_Toc15396598"/>
      <w:bookmarkStart w:id="10" w:name="_Toc15396476"/>
      <w:bookmarkStart w:id="11" w:name="_Toc15377194"/>
      <w:r>
        <w:rPr>
          <w:rFonts w:hint="eastAsia" w:ascii="方正小标宋简体" w:hAnsi="宋体" w:eastAsia="方正小标宋简体"/>
          <w:color w:val="000000"/>
          <w:sz w:val="72"/>
          <w:szCs w:val="72"/>
        </w:rPr>
        <w:t>四川省广安市人民医院</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rPr>
        <w:t>编制说明</w:t>
      </w:r>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公开时间：2022年8月8日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 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rPr>
        <w:t>5</w:t>
      </w:r>
      <w:r>
        <w:rPr>
          <w:rFonts w:hint="eastAsia"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w:t>
      </w:r>
      <w:r>
        <w:rPr>
          <w:rStyle w:val="15"/>
          <w:rFonts w:hint="eastAsia"/>
        </w:rPr>
        <w:t>21年度部门决算情况说明</w:t>
      </w:r>
      <w:r>
        <w:tab/>
      </w:r>
      <w:r>
        <w:rPr>
          <w:rFonts w:hint="eastAsia"/>
        </w:rPr>
        <w:t>6</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rPr>
        <w:t>7</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rPr>
        <w:t>7</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rPr>
        <w:t>12</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12</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lang w:val="en-US" w:eastAsia="zh-CN"/>
        </w:rPr>
        <w:t>3</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lang w:val="en-US" w:eastAsia="zh-CN"/>
        </w:rPr>
        <w:t>3</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、其他重要事项的情况说明</w:t>
      </w:r>
      <w:r>
        <w:rPr>
          <w:rFonts w:ascii="仿宋" w:hAnsi="仿宋" w:eastAsia="仿宋"/>
          <w:sz w:val="28"/>
          <w:szCs w:val="28"/>
        </w:rPr>
        <w:tab/>
      </w:r>
      <w:r>
        <w:rPr>
          <w:rFonts w:hint="eastAsia" w:ascii="仿宋" w:hAnsi="仿宋" w:eastAsia="仿宋"/>
          <w:sz w:val="28"/>
          <w:szCs w:val="28"/>
        </w:rPr>
        <w:t>14</w:t>
      </w:r>
      <w:r>
        <w:rPr>
          <w:rFonts w:hint="eastAsia" w:ascii="仿宋" w:hAnsi="仿宋" w:eastAsia="仿宋"/>
          <w:sz w:val="28"/>
          <w:szCs w:val="28"/>
        </w:rPr>
        <w:fldChar w:fldCharType="end"/>
      </w:r>
    </w:p>
    <w:p>
      <w:pPr>
        <w:pStyle w:val="10"/>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rPr>
        <w:t>18</w:t>
      </w:r>
      <w:r>
        <w:rPr>
          <w:rFonts w:hint="eastAsia"/>
        </w:rPr>
        <w:fldChar w:fldCharType="end"/>
      </w:r>
    </w:p>
    <w:p>
      <w:pPr>
        <w:pStyle w:val="10"/>
      </w:pPr>
      <w:r>
        <w:fldChar w:fldCharType="begin"/>
      </w:r>
      <w:r>
        <w:instrText xml:space="preserve"> HYPERLINK \l "_Toc15396614" </w:instrText>
      </w:r>
      <w:r>
        <w:fldChar w:fldCharType="separate"/>
      </w:r>
      <w:r>
        <w:rPr>
          <w:rStyle w:val="15"/>
          <w:rFonts w:hint="eastAsia"/>
        </w:rPr>
        <w:t>第</w:t>
      </w:r>
      <w:r>
        <w:rPr>
          <w:rStyle w:val="15"/>
          <w:rFonts w:hint="eastAsia"/>
          <w:kern w:val="44"/>
        </w:rPr>
        <w:t>四部分 附件</w:t>
      </w:r>
      <w:r>
        <w:tab/>
      </w:r>
      <w:r>
        <w:t>2</w:t>
      </w:r>
      <w:r>
        <w:fldChar w:fldCharType="end"/>
      </w:r>
      <w:r>
        <w:rPr>
          <w:rFonts w:hint="eastAsia"/>
        </w:rPr>
        <w:t>2</w:t>
      </w:r>
    </w:p>
    <w:p>
      <w:pPr>
        <w:pStyle w:val="10"/>
      </w:pPr>
      <w:r>
        <w:rPr>
          <w:rStyle w:val="15"/>
          <w:rFonts w:hint="eastAsia"/>
          <w:kern w:val="44"/>
        </w:rPr>
        <w:t xml:space="preserve">    附件 1</w:t>
      </w:r>
      <w:r>
        <w:tab/>
      </w:r>
      <w:r>
        <w:t>2</w:t>
      </w:r>
      <w:r>
        <w:rPr>
          <w:rFonts w:hint="eastAsia"/>
        </w:rPr>
        <w:t>2</w:t>
      </w:r>
    </w:p>
    <w:p>
      <w:pPr>
        <w:pStyle w:val="10"/>
      </w:pPr>
      <w:r>
        <w:rPr>
          <w:rStyle w:val="15"/>
          <w:rFonts w:hint="eastAsia"/>
          <w:kern w:val="44"/>
        </w:rPr>
        <w:t xml:space="preserve">    附件 2</w:t>
      </w:r>
      <w:r>
        <w:tab/>
      </w:r>
      <w:r>
        <w:t>2</w:t>
      </w:r>
      <w:r>
        <w:rPr>
          <w:rFonts w:hint="eastAsia"/>
        </w:rPr>
        <w:t>4</w:t>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 附表</w:t>
      </w:r>
      <w:r>
        <w:tab/>
      </w:r>
      <w:r>
        <w:rPr>
          <w:rFonts w:hint="eastAsia"/>
        </w:rPr>
        <w:t>3</w:t>
      </w:r>
      <w:r>
        <w:rPr>
          <w:rFonts w:hint="eastAsia"/>
        </w:rPr>
        <w:fldChar w:fldCharType="end"/>
      </w:r>
      <w:r>
        <w:rPr>
          <w:rFonts w:hint="eastAsia"/>
        </w:rPr>
        <w:t>0</w:t>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rPr>
        <w:t>30</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收入决算表</w:t>
      </w:r>
      <w:r>
        <w:rPr>
          <w:rFonts w:ascii="仿宋" w:hAnsi="仿宋" w:eastAsia="仿宋"/>
          <w:sz w:val="28"/>
          <w:szCs w:val="28"/>
        </w:rPr>
        <w:tab/>
      </w:r>
      <w:r>
        <w:rPr>
          <w:rFonts w:hint="eastAsia" w:ascii="仿宋" w:hAnsi="仿宋" w:eastAsia="仿宋"/>
          <w:sz w:val="28"/>
          <w:szCs w:val="28"/>
        </w:rPr>
        <w:t>3</w:t>
      </w:r>
      <w:r>
        <w:rPr>
          <w:rFonts w:hint="eastAsia" w:ascii="仿宋" w:hAnsi="仿宋" w:eastAsia="仿宋"/>
          <w:sz w:val="28"/>
          <w:szCs w:val="28"/>
        </w:rPr>
        <w:fldChar w:fldCharType="end"/>
      </w:r>
      <w:r>
        <w:rPr>
          <w:rFonts w:hint="eastAsia" w:ascii="仿宋" w:hAnsi="仿宋" w:eastAsia="仿宋"/>
          <w:sz w:val="28"/>
          <w:szCs w:val="28"/>
        </w:rPr>
        <w:t>0</w:t>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支出决算表</w:t>
      </w:r>
      <w:r>
        <w:rPr>
          <w:rFonts w:ascii="仿宋" w:hAnsi="仿宋" w:eastAsia="仿宋"/>
          <w:sz w:val="28"/>
          <w:szCs w:val="28"/>
        </w:rPr>
        <w:tab/>
      </w:r>
      <w:r>
        <w:rPr>
          <w:rFonts w:hint="eastAsia" w:ascii="仿宋" w:hAnsi="仿宋" w:eastAsia="仿宋"/>
          <w:sz w:val="28"/>
          <w:szCs w:val="28"/>
        </w:rPr>
        <w:t>3</w:t>
      </w:r>
      <w:r>
        <w:rPr>
          <w:rFonts w:hint="eastAsia" w:ascii="仿宋" w:hAnsi="仿宋" w:eastAsia="仿宋"/>
          <w:sz w:val="28"/>
          <w:szCs w:val="28"/>
        </w:rPr>
        <w:fldChar w:fldCharType="end"/>
      </w:r>
      <w:r>
        <w:rPr>
          <w:rFonts w:hint="eastAsia" w:ascii="仿宋" w:hAnsi="仿宋" w:eastAsia="仿宋"/>
          <w:sz w:val="28"/>
          <w:szCs w:val="28"/>
        </w:rPr>
        <w:t>0</w:t>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rPr>
        <w:t>3</w:t>
      </w:r>
      <w:r>
        <w:rPr>
          <w:rFonts w:hint="eastAsia" w:ascii="仿宋" w:hAnsi="仿宋" w:eastAsia="仿宋"/>
          <w:sz w:val="28"/>
          <w:szCs w:val="28"/>
        </w:rPr>
        <w:fldChar w:fldCharType="end"/>
      </w:r>
      <w:r>
        <w:rPr>
          <w:rFonts w:hint="eastAsia" w:ascii="仿宋" w:hAnsi="仿宋" w:eastAsia="仿宋"/>
          <w:sz w:val="28"/>
          <w:szCs w:val="28"/>
        </w:rPr>
        <w:t>0</w:t>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w:t>
      </w:r>
      <w:r>
        <w:rPr>
          <w:rFonts w:ascii="仿宋" w:hAnsi="仿宋" w:eastAsia="仿宋"/>
          <w:sz w:val="28"/>
          <w:szCs w:val="28"/>
        </w:rPr>
        <w:tab/>
      </w:r>
      <w:r>
        <w:rPr>
          <w:rFonts w:hint="eastAsia" w:ascii="仿宋" w:hAnsi="仿宋" w:eastAsia="仿宋"/>
          <w:sz w:val="28"/>
          <w:szCs w:val="28"/>
        </w:rPr>
        <w:t>3</w:t>
      </w:r>
      <w:r>
        <w:rPr>
          <w:rFonts w:hint="eastAsia" w:ascii="仿宋" w:hAnsi="仿宋" w:eastAsia="仿宋"/>
          <w:sz w:val="28"/>
          <w:szCs w:val="28"/>
        </w:rPr>
        <w:fldChar w:fldCharType="end"/>
      </w:r>
      <w:r>
        <w:rPr>
          <w:rFonts w:hint="eastAsia" w:ascii="仿宋" w:hAnsi="仿宋" w:eastAsia="仿宋"/>
          <w:sz w:val="28"/>
          <w:szCs w:val="28"/>
        </w:rPr>
        <w:t>0</w:t>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3</w:t>
      </w:r>
      <w:r>
        <w:rPr>
          <w:rFonts w:hint="eastAsia" w:ascii="仿宋" w:hAnsi="仿宋" w:eastAsia="仿宋"/>
          <w:sz w:val="28"/>
          <w:szCs w:val="28"/>
        </w:rPr>
        <w:fldChar w:fldCharType="end"/>
      </w:r>
      <w:r>
        <w:rPr>
          <w:rFonts w:hint="eastAsia" w:ascii="仿宋" w:hAnsi="仿宋" w:eastAsia="仿宋"/>
          <w:sz w:val="28"/>
          <w:szCs w:val="28"/>
        </w:rPr>
        <w:t>0</w:t>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3</w:t>
      </w:r>
      <w:r>
        <w:rPr>
          <w:rFonts w:hint="eastAsia" w:ascii="仿宋" w:hAnsi="仿宋" w:eastAsia="仿宋"/>
          <w:sz w:val="28"/>
          <w:szCs w:val="28"/>
        </w:rPr>
        <w:fldChar w:fldCharType="end"/>
      </w:r>
      <w:r>
        <w:rPr>
          <w:rFonts w:hint="eastAsia" w:ascii="仿宋" w:hAnsi="仿宋" w:eastAsia="仿宋"/>
          <w:sz w:val="28"/>
          <w:szCs w:val="28"/>
        </w:rPr>
        <w:t>0</w:t>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3</w:t>
      </w:r>
      <w:r>
        <w:rPr>
          <w:rFonts w:hint="eastAsia" w:ascii="仿宋" w:hAnsi="仿宋" w:eastAsia="仿宋"/>
          <w:sz w:val="28"/>
          <w:szCs w:val="28"/>
        </w:rPr>
        <w:fldChar w:fldCharType="end"/>
      </w:r>
      <w:r>
        <w:rPr>
          <w:rFonts w:hint="eastAsia" w:ascii="仿宋" w:hAnsi="仿宋" w:eastAsia="仿宋"/>
          <w:sz w:val="28"/>
          <w:szCs w:val="28"/>
        </w:rPr>
        <w:t>0</w:t>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3</w:t>
      </w:r>
      <w:r>
        <w:rPr>
          <w:rFonts w:hint="eastAsia" w:ascii="仿宋" w:hAnsi="仿宋" w:eastAsia="仿宋"/>
          <w:sz w:val="28"/>
          <w:szCs w:val="28"/>
        </w:rPr>
        <w:fldChar w:fldCharType="end"/>
      </w:r>
      <w:r>
        <w:rPr>
          <w:rFonts w:hint="eastAsia" w:ascii="仿宋" w:hAnsi="仿宋" w:eastAsia="仿宋"/>
          <w:sz w:val="28"/>
          <w:szCs w:val="28"/>
        </w:rPr>
        <w:t>0</w:t>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3</w:t>
      </w:r>
      <w:r>
        <w:rPr>
          <w:rFonts w:hint="eastAsia" w:ascii="仿宋" w:hAnsi="仿宋" w:eastAsia="仿宋"/>
          <w:sz w:val="28"/>
          <w:szCs w:val="28"/>
        </w:rPr>
        <w:fldChar w:fldCharType="end"/>
      </w:r>
      <w:r>
        <w:rPr>
          <w:rFonts w:hint="eastAsia" w:ascii="仿宋" w:hAnsi="仿宋" w:eastAsia="仿宋"/>
          <w:sz w:val="28"/>
          <w:szCs w:val="28"/>
        </w:rPr>
        <w:t>0</w:t>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3</w:t>
      </w:r>
      <w:r>
        <w:rPr>
          <w:rFonts w:hint="eastAsia" w:ascii="仿宋" w:hAnsi="仿宋" w:eastAsia="仿宋"/>
          <w:sz w:val="28"/>
          <w:szCs w:val="28"/>
        </w:rPr>
        <w:fldChar w:fldCharType="end"/>
      </w:r>
      <w:r>
        <w:rPr>
          <w:rFonts w:hint="eastAsia" w:ascii="仿宋" w:hAnsi="仿宋" w:eastAsia="仿宋"/>
          <w:sz w:val="28"/>
          <w:szCs w:val="28"/>
        </w:rPr>
        <w:t>0</w:t>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3</w:t>
      </w:r>
      <w:r>
        <w:rPr>
          <w:rFonts w:hint="eastAsia" w:ascii="仿宋" w:hAnsi="仿宋" w:eastAsia="仿宋"/>
          <w:sz w:val="28"/>
          <w:szCs w:val="28"/>
        </w:rPr>
        <w:fldChar w:fldCharType="end"/>
      </w:r>
      <w:r>
        <w:rPr>
          <w:rFonts w:hint="eastAsia" w:ascii="仿宋" w:hAnsi="仿宋" w:eastAsia="仿宋"/>
          <w:sz w:val="28"/>
          <w:szCs w:val="28"/>
        </w:rPr>
        <w:t>0</w:t>
      </w:r>
    </w:p>
    <w:p>
      <w:pPr>
        <w:pStyle w:val="11"/>
        <w:rPr>
          <w:rFonts w:ascii="仿宋" w:hAnsi="仿宋" w:eastAsia="仿宋"/>
          <w:sz w:val="28"/>
          <w:szCs w:val="28"/>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国有资本经营预算财政拨款收入支出决算表</w:t>
      </w:r>
      <w:r>
        <w:rPr>
          <w:rFonts w:ascii="仿宋" w:hAnsi="仿宋" w:eastAsia="仿宋"/>
          <w:sz w:val="28"/>
          <w:szCs w:val="28"/>
        </w:rPr>
        <w:tab/>
      </w:r>
      <w:r>
        <w:rPr>
          <w:rFonts w:hint="eastAsia" w:ascii="仿宋" w:hAnsi="仿宋" w:eastAsia="仿宋"/>
          <w:sz w:val="28"/>
          <w:szCs w:val="28"/>
        </w:rPr>
        <w:t>3</w:t>
      </w:r>
      <w:r>
        <w:rPr>
          <w:rFonts w:hint="eastAsia" w:ascii="仿宋" w:hAnsi="仿宋" w:eastAsia="仿宋"/>
          <w:sz w:val="28"/>
          <w:szCs w:val="28"/>
        </w:rPr>
        <w:fldChar w:fldCharType="end"/>
      </w:r>
      <w:r>
        <w:rPr>
          <w:rFonts w:hint="eastAsia" w:ascii="仿宋" w:hAnsi="仿宋" w:eastAsia="仿宋"/>
          <w:sz w:val="28"/>
          <w:szCs w:val="28"/>
        </w:rPr>
        <w:t>0</w:t>
      </w:r>
    </w:p>
    <w:p>
      <w:pPr>
        <w:pStyle w:val="11"/>
        <w:rPr>
          <w:rFonts w:eastAsia="仿宋"/>
        </w:rPr>
      </w:pPr>
      <w:r>
        <w:rPr>
          <w:rFonts w:hint="eastAsia" w:ascii="仿宋" w:hAnsi="仿宋" w:eastAsia="仿宋"/>
          <w:sz w:val="28"/>
          <w:szCs w:val="28"/>
        </w:rPr>
        <w:t>十四、</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国有资本经营预算财政拨款支出决算表</w:t>
      </w:r>
      <w:r>
        <w:rPr>
          <w:rFonts w:ascii="仿宋" w:hAnsi="仿宋" w:eastAsia="仿宋"/>
          <w:sz w:val="28"/>
          <w:szCs w:val="28"/>
        </w:rPr>
        <w:tab/>
      </w:r>
      <w:r>
        <w:rPr>
          <w:rFonts w:hint="eastAsia" w:ascii="仿宋" w:hAnsi="仿宋" w:eastAsia="仿宋"/>
          <w:sz w:val="28"/>
          <w:szCs w:val="28"/>
        </w:rPr>
        <w:t>3</w:t>
      </w:r>
      <w:r>
        <w:rPr>
          <w:rFonts w:hint="eastAsia" w:ascii="仿宋" w:hAnsi="仿宋" w:eastAsia="仿宋"/>
          <w:sz w:val="28"/>
          <w:szCs w:val="28"/>
        </w:rPr>
        <w:fldChar w:fldCharType="end"/>
      </w:r>
      <w:r>
        <w:rPr>
          <w:rFonts w:hint="eastAsia" w:ascii="仿宋" w:hAnsi="仿宋" w:eastAsia="仿宋"/>
          <w:sz w:val="28"/>
          <w:szCs w:val="28"/>
        </w:rPr>
        <w:t>0</w:t>
      </w:r>
    </w:p>
    <w:p>
      <w:pPr>
        <w:pStyle w:val="10"/>
        <w:rPr>
          <w:color w:val="000000"/>
          <w:sz w:val="24"/>
        </w:rPr>
      </w:pPr>
      <w:r>
        <w:rPr>
          <w:color w:val="000000"/>
          <w:sz w:val="24"/>
        </w:rPr>
        <w:fldChar w:fldCharType="end"/>
      </w:r>
      <w:bookmarkStart w:id="12" w:name="_Toc15396599"/>
      <w:bookmarkStart w:id="13" w:name="_Toc15377196"/>
    </w:p>
    <w:p/>
    <w:p/>
    <w:p/>
    <w:p/>
    <w:p/>
    <w:p/>
    <w:p/>
    <w:p/>
    <w:p/>
    <w:p/>
    <w:p/>
    <w:p/>
    <w:p/>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ind w:firstLine="640" w:firstLineChars="200"/>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ind w:firstLine="643" w:firstLineChars="200"/>
        <w:rPr>
          <w:rFonts w:ascii="仿宋" w:hAnsi="仿宋" w:eastAsia="仿宋"/>
          <w:b/>
          <w:sz w:val="32"/>
          <w:szCs w:val="32"/>
        </w:rPr>
      </w:pPr>
      <w:bookmarkStart w:id="16" w:name="_Toc15378445"/>
      <w:bookmarkStart w:id="17" w:name="_Toc15377198"/>
      <w:r>
        <w:rPr>
          <w:rFonts w:hint="eastAsia" w:ascii="仿宋" w:hAnsi="仿宋" w:eastAsia="仿宋"/>
          <w:b/>
          <w:sz w:val="32"/>
          <w:szCs w:val="32"/>
        </w:rPr>
        <w:t>（一）主要职能</w:t>
      </w:r>
    </w:p>
    <w:bookmarkEnd w:id="16"/>
    <w:bookmarkEnd w:id="17"/>
    <w:p>
      <w:pPr>
        <w:ind w:firstLine="640" w:firstLineChars="200"/>
        <w:rPr>
          <w:rFonts w:ascii="方正仿宋_GBK" w:eastAsia="方正仿宋_GBK"/>
          <w:sz w:val="32"/>
          <w:szCs w:val="32"/>
        </w:rPr>
      </w:pPr>
      <w:r>
        <w:rPr>
          <w:rFonts w:hint="eastAsia" w:ascii="仿宋" w:hAnsi="仿宋" w:eastAsia="仿宋"/>
          <w:sz w:val="32"/>
          <w:szCs w:val="32"/>
        </w:rPr>
        <w:t>广安市人民医院是</w:t>
      </w:r>
      <w:r>
        <w:rPr>
          <w:rFonts w:hint="eastAsia" w:ascii="方正仿宋_GBK" w:eastAsia="方正仿宋_GBK"/>
          <w:sz w:val="32"/>
          <w:szCs w:val="32"/>
        </w:rPr>
        <w:t>集医疗、教学、科研、预防保健、卫生应急、指导基层为一体的国家级三级甲等综合性医院，国家级住院医师规范化培训基地，广安市医疗急救和技术指导中心，承办市卫生健康委交办的卫生工作及其他事项。</w:t>
      </w:r>
    </w:p>
    <w:p>
      <w:pPr>
        <w:ind w:firstLine="643" w:firstLineChars="200"/>
        <w:rPr>
          <w:rFonts w:ascii="仿宋" w:hAnsi="仿宋" w:eastAsia="仿宋"/>
          <w:b/>
          <w:sz w:val="32"/>
          <w:szCs w:val="32"/>
        </w:rPr>
      </w:pPr>
      <w:bookmarkStart w:id="18" w:name="_Toc15377199"/>
      <w:bookmarkStart w:id="19" w:name="_Toc15378446"/>
      <w:r>
        <w:rPr>
          <w:rFonts w:hint="eastAsia" w:ascii="仿宋" w:hAnsi="仿宋" w:eastAsia="仿宋"/>
          <w:b/>
          <w:sz w:val="32"/>
          <w:szCs w:val="32"/>
        </w:rPr>
        <w:t>（二）</w:t>
      </w:r>
      <w:r>
        <w:rPr>
          <w:rFonts w:ascii="仿宋" w:hAnsi="仿宋" w:eastAsia="仿宋"/>
          <w:b/>
          <w:sz w:val="32"/>
          <w:szCs w:val="32"/>
        </w:rPr>
        <w:t>20</w:t>
      </w:r>
      <w:r>
        <w:rPr>
          <w:rFonts w:hint="eastAsia" w:ascii="仿宋" w:hAnsi="仿宋" w:eastAsia="仿宋"/>
          <w:b/>
          <w:sz w:val="32"/>
          <w:szCs w:val="32"/>
        </w:rPr>
        <w:t>21年重点工作完成情况</w:t>
      </w:r>
      <w:bookmarkEnd w:id="18"/>
      <w:bookmarkEnd w:id="19"/>
    </w:p>
    <w:p>
      <w:pPr>
        <w:numPr>
          <w:ilvl w:val="255"/>
          <w:numId w:val="0"/>
        </w:numPr>
        <w:spacing w:line="590" w:lineRule="exact"/>
        <w:ind w:firstLine="640" w:firstLineChars="200"/>
        <w:rPr>
          <w:rFonts w:ascii="方正仿宋_GBK" w:hAnsi="仿宋" w:eastAsia="方正仿宋_GBK"/>
          <w:sz w:val="32"/>
          <w:szCs w:val="32"/>
          <w:highlight w:val="yellow"/>
        </w:rPr>
      </w:pPr>
      <w:r>
        <w:rPr>
          <w:rFonts w:hint="eastAsia" w:ascii="方正仿宋_GBK" w:hAnsi="仿宋" w:eastAsia="方正仿宋_GBK" w:cs="方正黑体_GBK"/>
          <w:sz w:val="32"/>
          <w:szCs w:val="32"/>
        </w:rPr>
        <w:t>1.业务指标完成情况</w:t>
      </w:r>
      <w:r>
        <w:rPr>
          <w:rFonts w:hint="eastAsia" w:ascii="方正仿宋_GBK" w:hAnsi="仿宋" w:eastAsia="方正仿宋_GBK"/>
          <w:sz w:val="32"/>
          <w:szCs w:val="32"/>
        </w:rPr>
        <w:t>：2021年是医院建院80周年，我院坚持疫情防控的同时，全面落实市委、市政府决策部署，深入推进“三统一”工作目标，紧紧围绕“341”工作思路，拼搏实干，综合实力和行业影响力快速攀升。全年服务门急诊总人次109.65人次，同比增长39.5%；出院人数7.03万人次，同比增长11.7%；手术人次4.0万人次，同比增长23.1%；四级手术4592台次，同比增长34.3%。</w:t>
      </w:r>
    </w:p>
    <w:p>
      <w:pPr>
        <w:ind w:firstLine="640" w:firstLineChars="200"/>
        <w:rPr>
          <w:rFonts w:ascii="方正仿宋_GBK" w:hAnsi="仿宋" w:eastAsia="方正仿宋_GBK"/>
          <w:sz w:val="32"/>
          <w:szCs w:val="32"/>
        </w:rPr>
      </w:pPr>
      <w:r>
        <w:rPr>
          <w:rFonts w:hint="eastAsia" w:ascii="方正仿宋_GBK" w:hAnsi="仿宋" w:eastAsia="方正仿宋_GBK" w:cs="方正楷体_GBK"/>
          <w:bCs/>
          <w:sz w:val="32"/>
          <w:szCs w:val="32"/>
        </w:rPr>
        <w:t>2.重点工作推进情况</w:t>
      </w:r>
      <w:r>
        <w:rPr>
          <w:rFonts w:hint="eastAsia" w:ascii="方正仿宋_GBK" w:hAnsi="仿宋" w:eastAsia="方正仿宋_GBK" w:cs="方正黑体_GBK"/>
          <w:sz w:val="32"/>
          <w:szCs w:val="32"/>
        </w:rPr>
        <w:t>：</w:t>
      </w:r>
      <w:r>
        <w:rPr>
          <w:rFonts w:hint="eastAsia" w:ascii="方正仿宋_GBK" w:hAnsi="仿宋" w:eastAsia="方正仿宋_GBK"/>
          <w:bCs/>
          <w:sz w:val="32"/>
          <w:szCs w:val="32"/>
        </w:rPr>
        <w:t>（1）继续抓好疫情防控工作，确保防疫设备和物资满足定点救治医院要求；（</w:t>
      </w:r>
      <w:r>
        <w:rPr>
          <w:rFonts w:ascii="方正仿宋_GBK" w:hAnsi="仿宋" w:eastAsia="方正仿宋_GBK"/>
          <w:bCs/>
          <w:sz w:val="32"/>
          <w:szCs w:val="32"/>
        </w:rPr>
        <w:t>2</w:t>
      </w:r>
      <w:r>
        <w:rPr>
          <w:rFonts w:hint="eastAsia" w:ascii="方正仿宋_GBK" w:hAnsi="仿宋" w:eastAsia="方正仿宋_GBK"/>
          <w:bCs/>
          <w:sz w:val="32"/>
          <w:szCs w:val="32"/>
        </w:rPr>
        <w:t>）全面深化与华西战略合作，各项工作得到市委市政府和华西医院的大力支持</w:t>
      </w:r>
      <w:r>
        <w:rPr>
          <w:rFonts w:hint="eastAsia" w:ascii="方正仿宋_GBK" w:hAnsi="仿宋" w:eastAsia="方正仿宋_GBK"/>
          <w:bCs/>
          <w:kern w:val="0"/>
          <w:sz w:val="32"/>
          <w:szCs w:val="32"/>
        </w:rPr>
        <w:t>；</w:t>
      </w:r>
      <w:r>
        <w:rPr>
          <w:rFonts w:hint="eastAsia" w:ascii="方正仿宋_GBK" w:hAnsi="仿宋" w:eastAsia="方正仿宋_GBK"/>
          <w:bCs/>
          <w:sz w:val="32"/>
          <w:szCs w:val="32"/>
        </w:rPr>
        <w:t>（</w:t>
      </w:r>
      <w:r>
        <w:rPr>
          <w:rFonts w:ascii="方正仿宋_GBK" w:hAnsi="仿宋" w:eastAsia="方正仿宋_GBK"/>
          <w:bCs/>
          <w:sz w:val="32"/>
          <w:szCs w:val="32"/>
        </w:rPr>
        <w:t>3</w:t>
      </w:r>
      <w:r>
        <w:rPr>
          <w:rFonts w:hint="eastAsia" w:ascii="方正仿宋_GBK" w:hAnsi="仿宋" w:eastAsia="方正仿宋_GBK"/>
          <w:bCs/>
          <w:sz w:val="32"/>
          <w:szCs w:val="32"/>
        </w:rPr>
        <w:t>）</w:t>
      </w:r>
      <w:r>
        <w:rPr>
          <w:rFonts w:hint="eastAsia" w:ascii="方正仿宋_GBK" w:hAnsi="仿宋" w:eastAsia="方正仿宋_GBK"/>
          <w:bCs/>
          <w:kern w:val="0"/>
          <w:sz w:val="32"/>
          <w:szCs w:val="32"/>
        </w:rPr>
        <w:t>全程抓好医疗质量安全、提升护理服务质量；</w:t>
      </w:r>
      <w:r>
        <w:rPr>
          <w:rFonts w:hint="eastAsia" w:ascii="方正仿宋_GBK" w:hAnsi="仿宋" w:eastAsia="方正仿宋_GBK"/>
          <w:bCs/>
          <w:sz w:val="32"/>
          <w:szCs w:val="32"/>
        </w:rPr>
        <w:t>（</w:t>
      </w:r>
      <w:r>
        <w:rPr>
          <w:rFonts w:ascii="方正仿宋_GBK" w:hAnsi="仿宋" w:eastAsia="方正仿宋_GBK"/>
          <w:bCs/>
          <w:sz w:val="32"/>
          <w:szCs w:val="32"/>
        </w:rPr>
        <w:t>4</w:t>
      </w:r>
      <w:r>
        <w:rPr>
          <w:rFonts w:hint="eastAsia" w:ascii="方正仿宋_GBK" w:hAnsi="仿宋" w:eastAsia="方正仿宋_GBK"/>
          <w:bCs/>
          <w:sz w:val="32"/>
          <w:szCs w:val="32"/>
        </w:rPr>
        <w:t>）</w:t>
      </w:r>
      <w:r>
        <w:rPr>
          <w:rFonts w:hint="eastAsia" w:ascii="方正仿宋_GBK" w:hAnsi="仿宋" w:eastAsia="方正仿宋_GBK"/>
          <w:bCs/>
          <w:kern w:val="0"/>
          <w:sz w:val="32"/>
          <w:szCs w:val="32"/>
        </w:rPr>
        <w:t>全新推动科研教学，让科研工作迈出新的步伐、继续教育得到新的发展；</w:t>
      </w:r>
      <w:r>
        <w:rPr>
          <w:rFonts w:hint="eastAsia" w:ascii="方正仿宋_GBK" w:hAnsi="仿宋" w:eastAsia="方正仿宋_GBK"/>
          <w:bCs/>
          <w:sz w:val="32"/>
          <w:szCs w:val="32"/>
        </w:rPr>
        <w:t>（</w:t>
      </w:r>
      <w:r>
        <w:rPr>
          <w:rFonts w:ascii="方正仿宋_GBK" w:hAnsi="仿宋" w:eastAsia="方正仿宋_GBK"/>
          <w:bCs/>
          <w:sz w:val="32"/>
          <w:szCs w:val="32"/>
        </w:rPr>
        <w:t>5</w:t>
      </w:r>
      <w:r>
        <w:rPr>
          <w:rFonts w:hint="eastAsia" w:ascii="方正仿宋_GBK" w:hAnsi="仿宋" w:eastAsia="方正仿宋_GBK"/>
          <w:bCs/>
          <w:sz w:val="32"/>
          <w:szCs w:val="32"/>
        </w:rPr>
        <w:t>）强化人才队伍建设，配强领导班子，推进干部换届，大力引进人才，人才结构日趋合理；（</w:t>
      </w:r>
      <w:r>
        <w:rPr>
          <w:rFonts w:ascii="方正仿宋_GBK" w:hAnsi="仿宋" w:eastAsia="方正仿宋_GBK"/>
          <w:bCs/>
          <w:sz w:val="32"/>
          <w:szCs w:val="32"/>
        </w:rPr>
        <w:t>6</w:t>
      </w:r>
      <w:r>
        <w:rPr>
          <w:rFonts w:hint="eastAsia" w:ascii="方正仿宋_GBK" w:hAnsi="仿宋" w:eastAsia="方正仿宋_GBK"/>
          <w:bCs/>
          <w:sz w:val="32"/>
          <w:szCs w:val="32"/>
        </w:rPr>
        <w:t>）优化医院管理，完善内部控制、创新薪酬体系；（</w:t>
      </w:r>
      <w:r>
        <w:rPr>
          <w:rFonts w:ascii="方正仿宋_GBK" w:hAnsi="仿宋" w:eastAsia="方正仿宋_GBK"/>
          <w:bCs/>
          <w:sz w:val="32"/>
          <w:szCs w:val="32"/>
        </w:rPr>
        <w:t>7</w:t>
      </w:r>
      <w:r>
        <w:rPr>
          <w:rFonts w:hint="eastAsia" w:ascii="方正仿宋_GBK" w:hAnsi="仿宋" w:eastAsia="方正仿宋_GBK"/>
          <w:bCs/>
          <w:sz w:val="32"/>
          <w:szCs w:val="32"/>
        </w:rPr>
        <w:t>）全线规范药事管理，让抗菌药物监管更严；（</w:t>
      </w:r>
      <w:r>
        <w:rPr>
          <w:rFonts w:ascii="方正仿宋_GBK" w:hAnsi="仿宋" w:eastAsia="方正仿宋_GBK"/>
          <w:bCs/>
          <w:sz w:val="32"/>
          <w:szCs w:val="32"/>
        </w:rPr>
        <w:t>8</w:t>
      </w:r>
      <w:r>
        <w:rPr>
          <w:rFonts w:hint="eastAsia" w:ascii="方正仿宋_GBK" w:hAnsi="仿宋" w:eastAsia="方正仿宋_GBK"/>
          <w:bCs/>
          <w:sz w:val="32"/>
          <w:szCs w:val="32"/>
        </w:rPr>
        <w:t>）发挥党建引领作用，深入开展党史学习教育，巩固发展统一战线；（9）全员防控廉政风险，牢固思想防线，推进专项审计；（10）秉承初心践行公益职责，做好新冠医疗保障工作、对口支援工作等；（1</w:t>
      </w:r>
      <w:r>
        <w:rPr>
          <w:rFonts w:ascii="方正仿宋_GBK" w:hAnsi="仿宋" w:eastAsia="方正仿宋_GBK"/>
          <w:bCs/>
          <w:sz w:val="32"/>
          <w:szCs w:val="32"/>
        </w:rPr>
        <w:t>1</w:t>
      </w:r>
      <w:r>
        <w:rPr>
          <w:rFonts w:hint="eastAsia" w:ascii="方正仿宋_GBK" w:hAnsi="仿宋" w:eastAsia="方正仿宋_GBK"/>
          <w:bCs/>
          <w:sz w:val="32"/>
          <w:szCs w:val="32"/>
        </w:rPr>
        <w:t>）继续统筹兼顾，其他工作统筹并进。</w:t>
      </w:r>
    </w:p>
    <w:p>
      <w:pPr>
        <w:pStyle w:val="3"/>
        <w:ind w:firstLine="640" w:firstLineChars="200"/>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640" w:firstLineChars="200"/>
        <w:rPr>
          <w:rFonts w:ascii="仿宋" w:hAnsi="仿宋" w:eastAsia="仿宋"/>
          <w:sz w:val="32"/>
          <w:szCs w:val="32"/>
        </w:rPr>
      </w:pPr>
      <w:r>
        <w:rPr>
          <w:rFonts w:hint="eastAsia" w:ascii="仿宋" w:hAnsi="仿宋" w:eastAsia="仿宋"/>
          <w:sz w:val="32"/>
          <w:szCs w:val="32"/>
        </w:rPr>
        <w:t>独立核算事业机构数1个,独立编制事业机构数1个，医院无下属二级单位。</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Style w:val="24"/>
          <w:rFonts w:hint="eastAsia" w:ascii="黑体" w:hAnsi="黑体" w:eastAsia="黑体"/>
          <w:b w:val="0"/>
          <w:bCs w:val="0"/>
        </w:rPr>
        <w:t>2021年度部门决算情况说明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sz w:val="32"/>
          <w:szCs w:val="32"/>
        </w:rPr>
        <w:t>2021年度广安市人民医院收入总计111615.64万元，支出总计112429.95万元。与2020年相比，收入总计增加394.41万元，支出总计增加10714.26万元，支出增加的主要是原因是人员经费、专用材料及专用设备购置的增加。</w:t>
      </w:r>
    </w:p>
    <w:p>
      <w:pPr>
        <w:spacing w:line="600" w:lineRule="exact"/>
        <w:outlineLvl w:val="1"/>
        <w:rPr>
          <w:rStyle w:val="25"/>
          <w:rFonts w:ascii="黑体" w:hAnsi="黑体" w:eastAsia="黑体"/>
          <w:b w:val="0"/>
        </w:rPr>
      </w:pPr>
      <w:bookmarkStart w:id="26" w:name="_Toc15377206"/>
      <w:bookmarkStart w:id="27" w:name="_Toc15396604"/>
      <w:r>
        <w:rPr>
          <w:rFonts w:hint="eastAsia"/>
        </w:rPr>
        <w:drawing>
          <wp:anchor distT="0" distB="0" distL="114300" distR="114300" simplePos="0" relativeHeight="251660288" behindDoc="0" locked="0" layoutInCell="1" allowOverlap="1">
            <wp:simplePos x="0" y="0"/>
            <wp:positionH relativeFrom="margin">
              <wp:posOffset>114300</wp:posOffset>
            </wp:positionH>
            <wp:positionV relativeFrom="paragraph">
              <wp:posOffset>48895</wp:posOffset>
            </wp:positionV>
            <wp:extent cx="5274310" cy="2590800"/>
            <wp:effectExtent l="19050" t="0" r="21590" b="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bookmarkEnd w:id="26"/>
      <w:bookmarkEnd w:id="27"/>
    </w:p>
    <w:p>
      <w:pPr>
        <w:spacing w:line="600" w:lineRule="exact"/>
        <w:outlineLvl w:val="1"/>
        <w:rPr>
          <w:rStyle w:val="25"/>
          <w:rFonts w:ascii="黑体" w:hAnsi="黑体" w:eastAsia="黑体"/>
          <w:b w:val="0"/>
        </w:rPr>
      </w:pPr>
      <w:r>
        <w:rPr>
          <w:rStyle w:val="25"/>
          <w:rFonts w:hint="eastAsia" w:ascii="黑体" w:hAnsi="黑体" w:eastAsia="黑体"/>
          <w:b w:val="0"/>
        </w:rPr>
        <w:t xml:space="preserve">    二、收入决算情况说明</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21年广安市人民医院本年收入合计111615.64万元，其中：一般公共预算财政拨款收入3501.59万元，占3.14</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；政府性基金预算财政拨款收入0万元，占0%；事业收入107658.65万元，占96.45</w:t>
      </w:r>
      <w:r>
        <w:rPr>
          <w:rFonts w:ascii="仿宋" w:hAnsi="仿宋" w:eastAsia="仿宋"/>
          <w:color w:val="000000"/>
          <w:sz w:val="32"/>
          <w:szCs w:val="32"/>
        </w:rPr>
        <w:t>%</w:t>
      </w:r>
      <w:r>
        <w:rPr>
          <w:rFonts w:hint="eastAsia" w:ascii="仿宋" w:hAnsi="仿宋" w:eastAsia="仿宋"/>
          <w:color w:val="000000"/>
          <w:sz w:val="32"/>
          <w:szCs w:val="32"/>
        </w:rPr>
        <w:t>；其他收入455.40万元，占0.41</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_GB2312" w:eastAsia="仿宋_GB2312"/>
          <w:color w:val="FF0000"/>
          <w:sz w:val="32"/>
          <w:szCs w:val="32"/>
        </w:rPr>
      </w:pPr>
    </w:p>
    <w:p>
      <w:pPr>
        <w:spacing w:line="600" w:lineRule="exact"/>
        <w:outlineLvl w:val="1"/>
        <w:rPr>
          <w:rFonts w:ascii="黑体" w:hAnsi="黑体" w:eastAsia="黑体" w:cstheme="majorBidi"/>
          <w:bCs/>
          <w:sz w:val="32"/>
          <w:szCs w:val="32"/>
        </w:rPr>
      </w:pPr>
      <w:bookmarkStart w:id="28" w:name="_Toc15396605"/>
      <w:bookmarkStart w:id="29" w:name="_Toc15377207"/>
      <w:r>
        <w:rPr>
          <w:rFonts w:hint="eastAsia"/>
        </w:rPr>
        <w:drawing>
          <wp:anchor distT="0" distB="0" distL="114300" distR="114300" simplePos="0" relativeHeight="251661312" behindDoc="0" locked="0" layoutInCell="1" allowOverlap="1">
            <wp:simplePos x="0" y="0"/>
            <wp:positionH relativeFrom="margin">
              <wp:posOffset>247650</wp:posOffset>
            </wp:positionH>
            <wp:positionV relativeFrom="paragraph">
              <wp:posOffset>114300</wp:posOffset>
            </wp:positionV>
            <wp:extent cx="5273675" cy="2476500"/>
            <wp:effectExtent l="19050" t="0" r="22225" b="0"/>
            <wp:wrapTopAndBottom/>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bookmarkEnd w:id="28"/>
      <w:bookmarkEnd w:id="29"/>
    </w:p>
    <w:p>
      <w:pPr>
        <w:spacing w:line="600" w:lineRule="exact"/>
        <w:ind w:firstLine="640"/>
        <w:rPr>
          <w:rFonts w:ascii="仿宋" w:hAnsi="仿宋" w:eastAsia="仿宋"/>
          <w:color w:val="000000"/>
          <w:sz w:val="32"/>
          <w:szCs w:val="32"/>
        </w:rPr>
      </w:pPr>
      <w:r>
        <w:rPr>
          <w:rStyle w:val="25"/>
          <w:rFonts w:hint="eastAsia" w:ascii="黑体" w:hAnsi="黑体" w:eastAsia="黑体"/>
          <w:b w:val="0"/>
        </w:rPr>
        <w:t>三、支出决算情况说明</w:t>
      </w:r>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w:t>
      </w:r>
      <w:r>
        <w:rPr>
          <w:rFonts w:hint="eastAsia" w:ascii="仿宋" w:hAnsi="仿宋" w:eastAsia="仿宋"/>
          <w:color w:val="000000"/>
          <w:sz w:val="32"/>
          <w:szCs w:val="32"/>
        </w:rPr>
        <w:t>21年广安市人民医院本年支出合计112429.95万元，其中：基本支出109857.98万元，占97.71</w:t>
      </w:r>
      <w:r>
        <w:rPr>
          <w:rFonts w:ascii="仿宋" w:hAnsi="仿宋" w:eastAsia="仿宋"/>
          <w:color w:val="000000"/>
          <w:sz w:val="32"/>
          <w:szCs w:val="32"/>
        </w:rPr>
        <w:t>%</w:t>
      </w:r>
      <w:r>
        <w:rPr>
          <w:rFonts w:hint="eastAsia" w:ascii="仿宋" w:hAnsi="仿宋" w:eastAsia="仿宋"/>
          <w:color w:val="000000"/>
          <w:sz w:val="32"/>
          <w:szCs w:val="32"/>
        </w:rPr>
        <w:t>；项目支出2571.97万元，占2.29</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outlineLvl w:val="1"/>
        <w:rPr>
          <w:rStyle w:val="25"/>
          <w:rFonts w:ascii="黑体" w:hAnsi="黑体" w:eastAsia="黑体"/>
          <w:b w:val="0"/>
        </w:rPr>
      </w:pP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2336" behindDoc="0" locked="0" layoutInCell="1" allowOverlap="1">
            <wp:simplePos x="0" y="0"/>
            <wp:positionH relativeFrom="margin">
              <wp:posOffset>133350</wp:posOffset>
            </wp:positionH>
            <wp:positionV relativeFrom="paragraph">
              <wp:posOffset>95250</wp:posOffset>
            </wp:positionV>
            <wp:extent cx="5273675" cy="2381250"/>
            <wp:effectExtent l="19050" t="0" r="22225" b="0"/>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 w:hAnsi="仿宋" w:eastAsia="仿宋"/>
          <w:color w:val="000000"/>
          <w:sz w:val="32"/>
          <w:szCs w:val="32"/>
        </w:rPr>
      </w:pPr>
      <w:r>
        <w:rPr>
          <w:rStyle w:val="25"/>
          <w:rFonts w:hint="eastAsia" w:ascii="黑体" w:hAnsi="黑体" w:eastAsia="黑体"/>
          <w:b w:val="0"/>
        </w:rPr>
        <w:t>四、财政拨款收入支出决算总体情况说明</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21年广安市人民医院财政拨款收入总计3501.59万元，财政拨款支出总计3359.52万元。与</w:t>
      </w:r>
      <w:r>
        <w:rPr>
          <w:rFonts w:ascii="仿宋" w:hAnsi="仿宋" w:eastAsia="仿宋"/>
          <w:color w:val="000000"/>
          <w:sz w:val="32"/>
          <w:szCs w:val="32"/>
        </w:rPr>
        <w:t>20</w:t>
      </w:r>
      <w:r>
        <w:rPr>
          <w:rFonts w:hint="eastAsia" w:ascii="仿宋" w:hAnsi="仿宋" w:eastAsia="仿宋"/>
          <w:color w:val="000000"/>
          <w:sz w:val="32"/>
          <w:szCs w:val="32"/>
        </w:rPr>
        <w:t>20年相比，财政拨款收入减少3553.85万元，减少50.37%；财政拨款支出减少2901.47万元，减少46.34%，收支减少的主要原因是政府性基金预算财政拨款收支的减少以及新冠疫情项目拨款</w:t>
      </w: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margin">
              <wp:posOffset>9525</wp:posOffset>
            </wp:positionH>
            <wp:positionV relativeFrom="paragraph">
              <wp:posOffset>2095500</wp:posOffset>
            </wp:positionV>
            <wp:extent cx="5267325" cy="2781300"/>
            <wp:effectExtent l="0" t="0" r="0" b="0"/>
            <wp:wrapTopAndBottom/>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000000"/>
          <w:sz w:val="32"/>
          <w:szCs w:val="32"/>
        </w:rPr>
        <w:t>收支的减少。</w:t>
      </w:r>
    </w:p>
    <w:p>
      <w:pPr>
        <w:spacing w:line="600" w:lineRule="exact"/>
        <w:rPr>
          <w:rFonts w:ascii="仿宋" w:hAnsi="仿宋" w:eastAsia="仿宋"/>
          <w:color w:val="000000"/>
          <w:sz w:val="32"/>
          <w:szCs w:val="32"/>
        </w:rPr>
      </w:pPr>
    </w:p>
    <w:p>
      <w:pPr>
        <w:spacing w:line="600" w:lineRule="exact"/>
        <w:ind w:firstLine="640" w:firstLineChars="200"/>
        <w:outlineLvl w:val="1"/>
        <w:rPr>
          <w:rStyle w:val="25"/>
          <w:rFonts w:ascii="黑体" w:hAnsi="黑体" w:eastAsia="黑体"/>
          <w:b w:val="0"/>
        </w:rPr>
      </w:pPr>
      <w:bookmarkStart w:id="30" w:name="_Toc15377209"/>
      <w:bookmarkStart w:id="31"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0"/>
      <w:bookmarkEnd w:id="31"/>
    </w:p>
    <w:p>
      <w:pPr>
        <w:spacing w:line="600" w:lineRule="exact"/>
        <w:ind w:firstLine="643"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21年广安市人民医院一般公共预算财政拨款支出3245.04万元，占本年支出合计的2.89</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rPr>
        <w:t>20年相比，一般公共预算财政拨款增加701.52万元，增长27.58</w:t>
      </w:r>
      <w:r>
        <w:rPr>
          <w:rFonts w:ascii="仿宋" w:hAnsi="仿宋" w:eastAsia="仿宋"/>
          <w:color w:val="000000"/>
          <w:sz w:val="32"/>
          <w:szCs w:val="32"/>
        </w:rPr>
        <w:t>%</w:t>
      </w:r>
      <w:r>
        <w:rPr>
          <w:rFonts w:hint="eastAsia" w:ascii="仿宋" w:hAnsi="仿宋" w:eastAsia="仿宋"/>
          <w:color w:val="000000"/>
          <w:sz w:val="32"/>
          <w:szCs w:val="32"/>
        </w:rPr>
        <w:t>。支出增加主要原因是医院人才引进费的增加。</w:t>
      </w:r>
    </w:p>
    <w:p>
      <w:pPr>
        <w:spacing w:line="600" w:lineRule="exact"/>
        <w:ind w:firstLine="640" w:firstLineChars="200"/>
        <w:rPr>
          <w:rFonts w:ascii="仿宋" w:hAnsi="仿宋" w:eastAsia="仿宋"/>
          <w:color w:val="000000"/>
          <w:sz w:val="32"/>
          <w:szCs w:val="32"/>
        </w:rPr>
      </w:pPr>
    </w:p>
    <w:p>
      <w:pPr>
        <w:spacing w:line="600" w:lineRule="exact"/>
        <w:outlineLvl w:val="2"/>
        <w:rPr>
          <w:rFonts w:ascii="仿宋" w:hAnsi="仿宋" w:eastAsia="仿宋"/>
          <w:b/>
          <w:color w:val="000000"/>
          <w:sz w:val="32"/>
          <w:szCs w:val="32"/>
        </w:rPr>
      </w:pPr>
      <w:bookmarkStart w:id="33" w:name="_Toc15377211"/>
      <w:r>
        <w:rPr>
          <w:rFonts w:hint="eastAsia" w:ascii="仿宋" w:hAnsi="仿宋" w:eastAsia="仿宋"/>
          <w:b/>
          <w:color w:val="000000"/>
          <w:sz w:val="32"/>
          <w:szCs w:val="32"/>
        </w:rPr>
        <w:drawing>
          <wp:anchor distT="0" distB="0" distL="114300" distR="114300" simplePos="0" relativeHeight="251663360" behindDoc="0" locked="0" layoutInCell="1" allowOverlap="1">
            <wp:simplePos x="0" y="0"/>
            <wp:positionH relativeFrom="margin">
              <wp:posOffset>0</wp:posOffset>
            </wp:positionH>
            <wp:positionV relativeFrom="paragraph">
              <wp:posOffset>-7802245</wp:posOffset>
            </wp:positionV>
            <wp:extent cx="5267325" cy="2505075"/>
            <wp:effectExtent l="0" t="0" r="0" b="0"/>
            <wp:wrapTopAndBottom/>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End w:id="33"/>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w:t>
      </w:r>
      <w:r>
        <w:rPr>
          <w:rFonts w:hint="eastAsia" w:ascii="仿宋" w:hAnsi="仿宋" w:eastAsia="仿宋"/>
          <w:color w:val="000000"/>
          <w:sz w:val="32"/>
          <w:szCs w:val="32"/>
        </w:rPr>
        <w:t>21年广安市人民医院一般公共预算财</w:t>
      </w:r>
      <w:r>
        <w:rPr>
          <w:rFonts w:hint="eastAsia" w:ascii="仿宋" w:hAnsi="仿宋" w:eastAsia="仿宋"/>
          <w:color w:val="000000" w:themeColor="text1"/>
          <w:sz w:val="32"/>
          <w:szCs w:val="32"/>
        </w:rPr>
        <w:t>政拨款支出</w:t>
      </w:r>
      <w:r>
        <w:rPr>
          <w:rFonts w:hint="eastAsia" w:ascii="仿宋" w:hAnsi="仿宋" w:eastAsia="仿宋"/>
          <w:color w:val="000000"/>
          <w:sz w:val="32"/>
          <w:szCs w:val="32"/>
        </w:rPr>
        <w:t>3245.04</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p>
    <w:p>
      <w:pPr>
        <w:spacing w:line="600" w:lineRule="exact"/>
        <w:ind w:firstLine="640"/>
        <w:rPr>
          <w:rFonts w:ascii="仿宋" w:hAnsi="仿宋" w:eastAsia="仿宋"/>
          <w:color w:val="000000" w:themeColor="text1"/>
          <w:sz w:val="32"/>
          <w:szCs w:val="32"/>
        </w:rPr>
      </w:pP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支出14.03万元，占3.42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rPr>
          <w:rFonts w:ascii="仿宋" w:hAnsi="仿宋" w:eastAsia="仿宋"/>
          <w:color w:val="000000" w:themeColor="text1"/>
          <w:sz w:val="32"/>
          <w:szCs w:val="32"/>
        </w:rPr>
      </w:pP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支出0.92万元，占0.03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rPr>
          <w:rFonts w:ascii="仿宋" w:hAnsi="仿宋" w:eastAsia="仿宋"/>
          <w:color w:val="000000" w:themeColor="text1"/>
          <w:sz w:val="32"/>
          <w:szCs w:val="32"/>
        </w:rPr>
      </w:pPr>
      <w:r>
        <w:rPr>
          <w:rFonts w:hint="eastAsia" w:ascii="仿宋" w:hAnsi="仿宋" w:eastAsia="仿宋"/>
          <w:b/>
          <w:color w:val="000000" w:themeColor="text1"/>
          <w:sz w:val="32"/>
          <w:szCs w:val="32"/>
        </w:rPr>
        <w:t>卫生健康（类）</w:t>
      </w:r>
      <w:r>
        <w:rPr>
          <w:rFonts w:hint="eastAsia" w:ascii="仿宋" w:hAnsi="仿宋" w:eastAsia="仿宋"/>
          <w:color w:val="000000" w:themeColor="text1"/>
          <w:sz w:val="32"/>
          <w:szCs w:val="32"/>
        </w:rPr>
        <w:t>支出3133.12万元，占96.55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rPr>
          <w:rFonts w:ascii="仿宋" w:hAnsi="仿宋" w:eastAsia="仿宋"/>
          <w:color w:val="000000" w:themeColor="text1"/>
          <w:sz w:val="32"/>
          <w:szCs w:val="32"/>
        </w:rPr>
      </w:pPr>
    </w:p>
    <w:p>
      <w:pPr>
        <w:spacing w:line="600" w:lineRule="exact"/>
        <w:ind w:firstLine="643" w:firstLineChars="200"/>
        <w:outlineLvl w:val="2"/>
        <w:rPr>
          <w:rFonts w:ascii="仿宋" w:hAnsi="仿宋" w:eastAsia="仿宋"/>
          <w:b/>
          <w:color w:val="000000"/>
          <w:sz w:val="32"/>
          <w:szCs w:val="32"/>
        </w:rPr>
      </w:pPr>
      <w:bookmarkStart w:id="34" w:name="_Toc15377212"/>
      <w:r>
        <w:rPr>
          <w:rFonts w:hint="eastAsia" w:ascii="仿宋" w:hAnsi="仿宋" w:eastAsia="仿宋"/>
          <w:b/>
          <w:color w:val="000000" w:themeColor="text1"/>
          <w:sz w:val="32"/>
          <w:szCs w:val="32"/>
        </w:rPr>
        <w:drawing>
          <wp:anchor distT="0" distB="0" distL="114300" distR="114300" simplePos="0" relativeHeight="251660288" behindDoc="0" locked="0" layoutInCell="1" allowOverlap="1">
            <wp:simplePos x="0" y="0"/>
            <wp:positionH relativeFrom="margin">
              <wp:posOffset>85725</wp:posOffset>
            </wp:positionH>
            <wp:positionV relativeFrom="paragraph">
              <wp:posOffset>381000</wp:posOffset>
            </wp:positionV>
            <wp:extent cx="5191125" cy="2486025"/>
            <wp:effectExtent l="0" t="0" r="0" b="0"/>
            <wp:wrapTopAndBottom/>
            <wp:docPr id="1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b/>
          <w:color w:val="000000"/>
          <w:sz w:val="32"/>
          <w:szCs w:val="32"/>
        </w:rPr>
        <w:t>（三）一般公共预算财政拨款支出决算具体情况</w:t>
      </w:r>
      <w:bookmarkEnd w:id="34"/>
    </w:p>
    <w:p>
      <w:pPr>
        <w:spacing w:line="600" w:lineRule="exact"/>
        <w:ind w:firstLine="643" w:firstLineChars="200"/>
        <w:outlineLvl w:val="2"/>
        <w:rPr>
          <w:rStyle w:val="14"/>
          <w:rFonts w:ascii="仿宋" w:hAnsi="仿宋" w:eastAsia="仿宋"/>
          <w:bCs/>
          <w:color w:val="000000"/>
          <w:sz w:val="32"/>
          <w:szCs w:val="32"/>
        </w:rPr>
      </w:pPr>
      <w:bookmarkStart w:id="35" w:name="_Toc15377213"/>
      <w:bookmarkStart w:id="36" w:name="_Toc15378460"/>
      <w:bookmarkStart w:id="37" w:name="_Toc15377444"/>
      <w:r>
        <w:rPr>
          <w:rFonts w:hint="eastAsia" w:ascii="仿宋" w:hAnsi="仿宋" w:eastAsia="仿宋"/>
          <w:b/>
          <w:color w:val="000000" w:themeColor="text1"/>
          <w:sz w:val="32"/>
          <w:szCs w:val="32"/>
        </w:rPr>
        <w:t>2021年广安市人民医院一般公共预算支出决算数为3245.04万元</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预算92.67</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5"/>
      <w:bookmarkEnd w:id="36"/>
      <w:bookmarkEnd w:id="37"/>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科学技术支出（类）技术研究与开发（款）科技成果转化与扩散（项）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支出决算为21.82万元，预算0万元，决算数大于预算数的主要原因是以前年度医院科技创新项目资金结转数的支出。</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科学技术支出（类）技术研究与开发（款） 其他技术研究与开发支出（项）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支出决算为43.66万元，预算0万元，决算数大于预算数的主要原因是以前年度医院科研项目结转数的支出。</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科学技术支出（类）科技重大项目（款）重点研发计划（项）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支出决算为20.17万元，完成预算21.17</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，决算数小于预算数的主要原因是移动式可扩展负压隔离转运舱及附属设施项目未实施完毕，将在2021年继续实施。</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科学技术支出（类）其他科学技术支出（款）科技奖励（项）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支出决算为1.15万元，完成预算11.5</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，决算数小于预算数的主要原因院士（专家）工作站奖励资金项目未实施完毕，将在2021年继续实施。</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5</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科学技术支出（类）其他科学技术支出（款）其他科学技术支出（项）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支出决算为24.19万元，预算0万元，决算数大于预算数的主要原因是以前年度医院医院科技创新项目资金结转数的支出。</w:t>
      </w:r>
    </w:p>
    <w:p>
      <w:pPr>
        <w:spacing w:line="600" w:lineRule="exact"/>
        <w:ind w:firstLine="643" w:firstLineChars="200"/>
        <w:rPr>
          <w:rStyle w:val="14"/>
          <w:rFonts w:ascii="仿宋" w:hAnsi="仿宋" w:eastAsia="仿宋"/>
          <w:color w:val="000000"/>
          <w:sz w:val="32"/>
          <w:szCs w:val="32"/>
        </w:rPr>
      </w:pPr>
      <w:r>
        <w:rPr>
          <w:rStyle w:val="14"/>
          <w:rFonts w:hint="eastAsia" w:ascii="仿宋" w:hAnsi="仿宋" w:eastAsia="仿宋"/>
          <w:bCs/>
          <w:color w:val="000000"/>
          <w:sz w:val="32"/>
          <w:szCs w:val="32"/>
        </w:rPr>
        <w:t>6</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社会保障和就业支出（类）抚恤（款）其他优抚支出（项）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支出决算为0.92万元，完成预算100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Cs/>
          <w:color w:val="000000"/>
          <w:sz w:val="32"/>
          <w:szCs w:val="32"/>
        </w:rPr>
      </w:pPr>
      <w:r>
        <w:rPr>
          <w:rStyle w:val="14"/>
          <w:rFonts w:hint="eastAsia" w:ascii="仿宋" w:hAnsi="仿宋" w:eastAsia="仿宋"/>
          <w:bCs/>
          <w:color w:val="000000"/>
          <w:sz w:val="32"/>
          <w:szCs w:val="32"/>
        </w:rPr>
        <w:t>7</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卫生健康支出（类）卫生健康管理事务（款）其他卫生健康管理事务支出（项）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支出决算为17.59万元，预算0万元，决算数大于预算数的主要原因是以前年度干保基地医院建设补助项目资金结转数的支出。</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8</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卫生健康支出（类）公立医院（款）综合医院（项）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支出决算为1203.34万元，完成预算86.57%，决算数小于预算数的主要原因是干保基地医院建设补助项目未实施完毕，将在2021年继续实施。</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9.卫生健康支出（类）公立医院（款）处理医疗欠费（项）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支出决算为60万元，完成预算100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10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卫生健康支出（类）公立医院（款）其他公立医院支出（项）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支出决算为138.64万元，预算0万元。决算数大于预算数的主要原因是以前年度城市公立医院综合改革项目结转数的支出。</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11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卫生健康支出（类）公共卫生（款）基本公共卫生服务（项）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支出决算为6.96万元，完成预算94.04</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，决算数小于预算数的主要原因是城乡医疗卫生对口扶贫支援项目未实施完毕，将在2021年继续实施。</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12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卫生健康支出（类）公共卫生（款）重大公共卫生专项（项）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支出决算为20.75万元，完成预算27.95</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，决算数小于预算数的主要原因是艾滋病防治经费等项目未实施完毕，将在2021年继续实施。</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13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卫生健康支出（类）公共卫生（款）突发公共卫生事件应急处理（项）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支出决算为61.58万元，完成预算96.55</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。决算数小于预算数的主要原因是核酸检测设备购置项目未实施完毕，将在2021年继续实施。</w:t>
      </w:r>
    </w:p>
    <w:p>
      <w:pPr>
        <w:spacing w:line="600" w:lineRule="exact"/>
        <w:ind w:firstLine="643" w:firstLineChars="200"/>
        <w:rPr>
          <w:rFonts w:ascii="仿宋" w:hAnsi="仿宋" w:eastAsia="仿宋"/>
          <w:bCs/>
          <w:color w:val="000000"/>
          <w:sz w:val="32"/>
          <w:szCs w:val="32"/>
        </w:rPr>
      </w:pPr>
      <w:r>
        <w:rPr>
          <w:rStyle w:val="14"/>
          <w:rFonts w:hint="eastAsia" w:ascii="仿宋" w:hAnsi="仿宋" w:eastAsia="仿宋"/>
          <w:bCs/>
          <w:color w:val="000000"/>
          <w:sz w:val="32"/>
          <w:szCs w:val="32"/>
        </w:rPr>
        <w:t>14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卫生健康支出（类）公共卫生（款）其他公共卫生专项（项）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支出决算为167.09万元，完成预算1193.52</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，决算数大于预算数的主要原因是以前年度产妇分娩住上单间项目结转数的支出。</w:t>
      </w:r>
    </w:p>
    <w:p>
      <w:pPr>
        <w:spacing w:line="600" w:lineRule="exact"/>
        <w:ind w:firstLine="643" w:firstLineChars="200"/>
        <w:rPr>
          <w:rFonts w:ascii="仿宋" w:hAnsi="仿宋" w:eastAsia="仿宋"/>
          <w:bCs/>
          <w:color w:val="000000"/>
          <w:sz w:val="32"/>
          <w:szCs w:val="32"/>
        </w:rPr>
      </w:pPr>
      <w:r>
        <w:rPr>
          <w:rStyle w:val="14"/>
          <w:rFonts w:hint="eastAsia" w:ascii="仿宋" w:hAnsi="仿宋" w:eastAsia="仿宋"/>
          <w:bCs/>
          <w:color w:val="000000"/>
          <w:sz w:val="32"/>
          <w:szCs w:val="32"/>
        </w:rPr>
        <w:t>15</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卫生健康支出（类）其他卫生健康支出（款）其他卫生健康支出（项）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支出决算为1457.17万元，完成预算81.81</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，决算数小于预算数的主要原因是住院医师规范化培训项目未实施完毕，将在2021年继续实施。</w:t>
      </w:r>
    </w:p>
    <w:p>
      <w:pPr>
        <w:tabs>
          <w:tab w:val="right" w:pos="8306"/>
        </w:tabs>
        <w:spacing w:line="600" w:lineRule="exact"/>
        <w:ind w:firstLine="640"/>
        <w:outlineLvl w:val="1"/>
        <w:rPr>
          <w:rStyle w:val="25"/>
        </w:rPr>
      </w:pPr>
      <w:bookmarkStart w:id="38" w:name="_Toc15377214"/>
      <w:bookmarkStart w:id="39"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38"/>
      <w:bookmarkEnd w:id="39"/>
      <w:r>
        <w:rPr>
          <w:rStyle w:val="25"/>
          <w:rFonts w:ascii="黑体" w:hAnsi="黑体" w:eastAsia="黑体"/>
          <w:b w:val="0"/>
        </w:rPr>
        <w:tab/>
      </w:r>
    </w:p>
    <w:p>
      <w:pPr>
        <w:spacing w:line="600" w:lineRule="exact"/>
        <w:ind w:firstLine="645"/>
        <w:rPr>
          <w:rFonts w:ascii="仿宋" w:hAnsi="仿宋" w:eastAsia="仿宋"/>
          <w:color w:val="000000"/>
          <w:sz w:val="32"/>
          <w:szCs w:val="32"/>
          <w:highlight w:val="yellow"/>
        </w:rPr>
      </w:pPr>
      <w:r>
        <w:rPr>
          <w:rFonts w:ascii="仿宋" w:hAnsi="仿宋" w:eastAsia="仿宋"/>
          <w:color w:val="000000"/>
          <w:sz w:val="32"/>
          <w:szCs w:val="32"/>
        </w:rPr>
        <w:t>20</w:t>
      </w:r>
      <w:r>
        <w:rPr>
          <w:rFonts w:hint="eastAsia" w:ascii="仿宋" w:hAnsi="仿宋" w:eastAsia="仿宋"/>
          <w:color w:val="000000"/>
          <w:sz w:val="32"/>
          <w:szCs w:val="32"/>
        </w:rPr>
        <w:t>21年广安市人民医院一般公共预算财政拨款基本支出859.2万元，其中：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人员经费300万元，主要包括：基本工资支出283.96万元，离休费支出16.04。</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公用经费559.20万元，主要包括：专用材料费559.20万元。</w:t>
      </w:r>
    </w:p>
    <w:p>
      <w:pPr>
        <w:spacing w:line="600" w:lineRule="exact"/>
        <w:ind w:firstLine="640"/>
        <w:outlineLvl w:val="1"/>
        <w:rPr>
          <w:rStyle w:val="25"/>
          <w:rFonts w:ascii="黑体" w:hAnsi="黑体" w:eastAsia="黑体"/>
          <w:b w:val="0"/>
        </w:rPr>
      </w:pPr>
      <w:bookmarkStart w:id="40" w:name="_Toc15396609"/>
      <w:bookmarkStart w:id="41"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21年广安市人民医院“三公”经费财政拨款支出决算为0万元，完成预算100</w:t>
      </w:r>
      <w:r>
        <w:rPr>
          <w:rFonts w:ascii="仿宋" w:hAnsi="仿宋" w:eastAsia="仿宋"/>
          <w:color w:val="000000"/>
          <w:sz w:val="32"/>
          <w:szCs w:val="32"/>
        </w:rPr>
        <w:t>%</w:t>
      </w:r>
      <w:r>
        <w:rPr>
          <w:rFonts w:hint="eastAsia" w:ascii="仿宋" w:hAnsi="仿宋" w:eastAsia="仿宋"/>
          <w:color w:val="000000"/>
          <w:sz w:val="32"/>
          <w:szCs w:val="32"/>
        </w:rPr>
        <w:t>，决算数与预算数持平。与2020年相比，“三公”经费财政拨款支出增加0万元。</w:t>
      </w:r>
    </w:p>
    <w:p>
      <w:pPr>
        <w:spacing w:line="600" w:lineRule="exact"/>
        <w:ind w:firstLine="640"/>
        <w:outlineLvl w:val="2"/>
        <w:rPr>
          <w:rFonts w:ascii="仿宋" w:hAnsi="仿宋" w:eastAsia="仿宋"/>
          <w:b/>
          <w:color w:val="000000"/>
          <w:sz w:val="32"/>
          <w:szCs w:val="32"/>
        </w:rPr>
      </w:pPr>
      <w:bookmarkStart w:id="43" w:name="_Toc15377217"/>
      <w:r>
        <w:rPr>
          <w:rFonts w:hint="eastAsia" w:ascii="仿宋" w:hAnsi="仿宋" w:eastAsia="仿宋"/>
          <w:b/>
          <w:color w:val="000000"/>
          <w:sz w:val="32"/>
          <w:szCs w:val="32"/>
        </w:rPr>
        <w:t>（二）“三公”经费财政拨款支出决算具体情况说明</w:t>
      </w:r>
      <w:bookmarkEnd w:id="4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21年“三公”经费财政拨款支出决算中，因公出国（境）费支出决算0万元；公务用车购置及运行维护费支出决算0万元；公务接待费支出决算0万元。</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因公出国（境）经费财政拨款支出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全年安排因公出国（境）团组0次，出国（境）0人。因公出国（境）支出决算与</w:t>
      </w:r>
      <w:r>
        <w:rPr>
          <w:rFonts w:ascii="仿宋_GB2312" w:eastAsia="仿宋_GB2312"/>
          <w:color w:val="000000"/>
          <w:sz w:val="32"/>
          <w:szCs w:val="32"/>
        </w:rPr>
        <w:t>20</w:t>
      </w:r>
      <w:r>
        <w:rPr>
          <w:rFonts w:hint="eastAsia" w:ascii="仿宋_GB2312" w:eastAsia="仿宋_GB2312"/>
          <w:color w:val="000000"/>
          <w:sz w:val="32"/>
          <w:szCs w:val="32"/>
        </w:rPr>
        <w:t>20年持平。</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公务用车购置及运行维护费财政拨款支出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公务用车购置及运行维护费支出决算与</w:t>
      </w:r>
      <w:r>
        <w:rPr>
          <w:rFonts w:ascii="仿宋_GB2312" w:eastAsia="仿宋_GB2312"/>
          <w:color w:val="000000"/>
          <w:sz w:val="32"/>
          <w:szCs w:val="32"/>
        </w:rPr>
        <w:t>20</w:t>
      </w:r>
      <w:r>
        <w:rPr>
          <w:rFonts w:hint="eastAsia" w:ascii="仿宋_GB2312" w:eastAsia="仿宋_GB2312"/>
          <w:color w:val="000000"/>
          <w:sz w:val="32"/>
          <w:szCs w:val="32"/>
        </w:rPr>
        <w:t>20年持平。</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公务用车购置财政拨款支出</w:t>
      </w:r>
      <w:r>
        <w:rPr>
          <w:rFonts w:hint="eastAsia" w:ascii="仿宋_GB2312" w:eastAsia="仿宋_GB2312"/>
          <w:color w:val="000000"/>
          <w:sz w:val="32"/>
          <w:szCs w:val="32"/>
        </w:rPr>
        <w:t>0万元。全年按规定更新购置公务用车0辆。截至</w:t>
      </w:r>
      <w:r>
        <w:rPr>
          <w:rFonts w:ascii="仿宋_GB2312" w:eastAsia="仿宋_GB2312"/>
          <w:color w:val="000000"/>
          <w:sz w:val="32"/>
          <w:szCs w:val="32"/>
        </w:rPr>
        <w:t>20</w:t>
      </w:r>
      <w:r>
        <w:rPr>
          <w:rFonts w:hint="eastAsia" w:ascii="仿宋_GB2312" w:eastAsia="仿宋_GB2312"/>
          <w:color w:val="000000"/>
          <w:sz w:val="32"/>
          <w:szCs w:val="32"/>
        </w:rPr>
        <w:t>21年</w:t>
      </w:r>
      <w:r>
        <w:rPr>
          <w:rFonts w:ascii="仿宋_GB2312" w:eastAsia="仿宋_GB2312"/>
          <w:color w:val="000000"/>
          <w:sz w:val="32"/>
          <w:szCs w:val="32"/>
        </w:rPr>
        <w:t>12</w:t>
      </w:r>
      <w:r>
        <w:rPr>
          <w:rFonts w:hint="eastAsia" w:ascii="仿宋_GB2312" w:eastAsia="仿宋_GB2312"/>
          <w:color w:val="000000"/>
          <w:sz w:val="32"/>
          <w:szCs w:val="32"/>
        </w:rPr>
        <w:t>月底，单位共有公务用车16辆，其中：商务车1辆、越野车1辆、救护车14辆。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公务用车运行维护费财政拨款支出</w:t>
      </w:r>
      <w:r>
        <w:rPr>
          <w:rFonts w:hint="eastAsia" w:ascii="仿宋_GB2312" w:eastAsia="仿宋_GB2312"/>
          <w:color w:val="000000"/>
          <w:sz w:val="32"/>
          <w:szCs w:val="32"/>
        </w:rPr>
        <w:t>0万元。公务用车运行维护费由单位自有医疗业务经费承担，主要用于医疗急救及公共卫生等所需的公务用车燃料费、维修费、过路过桥费、保险费等支出。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公务接待费财政拨款支出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公务接待费支出决算与</w:t>
      </w:r>
      <w:r>
        <w:rPr>
          <w:rFonts w:ascii="仿宋_GB2312" w:eastAsia="仿宋_GB2312"/>
          <w:color w:val="000000"/>
          <w:sz w:val="32"/>
          <w:szCs w:val="32"/>
        </w:rPr>
        <w:t>20</w:t>
      </w:r>
      <w:r>
        <w:rPr>
          <w:rFonts w:hint="eastAsia" w:ascii="仿宋_GB2312" w:eastAsia="仿宋_GB2312"/>
          <w:color w:val="000000"/>
          <w:sz w:val="32"/>
          <w:szCs w:val="32"/>
        </w:rPr>
        <w:t>20年持平。</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w:t>
      </w:r>
      <w:r>
        <w:rPr>
          <w:rFonts w:hint="eastAsia" w:ascii="仿宋_GB2312" w:eastAsia="仿宋_GB2312"/>
          <w:b/>
          <w:color w:val="000000"/>
          <w:sz w:val="32"/>
          <w:szCs w:val="32"/>
        </w:rPr>
        <w:t>财政拨款</w:t>
      </w:r>
      <w:r>
        <w:rPr>
          <w:rFonts w:hint="eastAsia" w:ascii="仿宋" w:hAnsi="仿宋" w:eastAsia="仿宋"/>
          <w:b/>
          <w:color w:val="000000"/>
          <w:sz w:val="32"/>
          <w:szCs w:val="32"/>
        </w:rPr>
        <w:t>支出</w:t>
      </w:r>
      <w:r>
        <w:rPr>
          <w:rFonts w:hint="eastAsia" w:ascii="仿宋" w:hAnsi="仿宋" w:eastAsia="仿宋"/>
          <w:color w:val="000000"/>
          <w:sz w:val="32"/>
          <w:szCs w:val="32"/>
        </w:rPr>
        <w:t>0</w:t>
      </w:r>
      <w:r>
        <w:rPr>
          <w:rFonts w:hint="eastAsia" w:ascii="仿宋_GB2312" w:eastAsia="仿宋_GB2312"/>
          <w:color w:val="000000"/>
          <w:sz w:val="32"/>
          <w:szCs w:val="32"/>
        </w:rPr>
        <w:t>万元。</w:t>
      </w:r>
    </w:p>
    <w:p>
      <w:pPr>
        <w:spacing w:line="600" w:lineRule="exact"/>
        <w:ind w:firstLine="643"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w:t>
      </w:r>
      <w:r>
        <w:rPr>
          <w:rFonts w:hint="eastAsia" w:ascii="仿宋_GB2312" w:eastAsia="仿宋_GB2312"/>
          <w:b/>
          <w:color w:val="000000"/>
          <w:sz w:val="32"/>
          <w:szCs w:val="32"/>
        </w:rPr>
        <w:t>财政拨款</w:t>
      </w:r>
      <w:r>
        <w:rPr>
          <w:rFonts w:hint="eastAsia" w:ascii="仿宋" w:hAnsi="仿宋" w:eastAsia="仿宋"/>
          <w:b/>
          <w:color w:val="000000"/>
          <w:sz w:val="32"/>
          <w:szCs w:val="32"/>
        </w:rPr>
        <w:t>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w:t>
      </w:r>
    </w:p>
    <w:p>
      <w:pPr>
        <w:spacing w:line="600" w:lineRule="exact"/>
        <w:ind w:firstLine="640"/>
        <w:outlineLvl w:val="1"/>
        <w:rPr>
          <w:rStyle w:val="25"/>
          <w:rFonts w:ascii="黑体" w:hAnsi="黑体" w:eastAsia="黑体"/>
        </w:rPr>
      </w:pPr>
      <w:bookmarkStart w:id="44" w:name="_Toc15377218"/>
      <w:bookmarkStart w:id="45"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21年政府性基金预算拨款支出0万元。</w:t>
      </w:r>
    </w:p>
    <w:p>
      <w:pPr>
        <w:numPr>
          <w:ilvl w:val="0"/>
          <w:numId w:val="2"/>
        </w:numPr>
        <w:spacing w:line="600" w:lineRule="exact"/>
        <w:ind w:firstLine="640"/>
        <w:outlineLvl w:val="1"/>
        <w:rPr>
          <w:rStyle w:val="25"/>
          <w:rFonts w:ascii="黑体" w:hAnsi="黑体" w:eastAsia="黑体"/>
          <w:b w:val="0"/>
        </w:rPr>
      </w:pPr>
      <w:bookmarkStart w:id="46" w:name="_Toc15396611"/>
      <w:bookmarkStart w:id="47" w:name="_Toc15377219"/>
      <w:r>
        <w:rPr>
          <w:rStyle w:val="25"/>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21年国有资本经营预算拨款支出0万元。</w:t>
      </w:r>
    </w:p>
    <w:p>
      <w:pPr>
        <w:spacing w:line="600" w:lineRule="exact"/>
        <w:ind w:firstLine="640" w:firstLineChars="200"/>
        <w:outlineLvl w:val="1"/>
        <w:rPr>
          <w:rStyle w:val="25"/>
          <w:rFonts w:ascii="黑体" w:hAnsi="黑体" w:eastAsia="黑体"/>
        </w:rPr>
      </w:pPr>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p>
    <w:p>
      <w:pPr>
        <w:spacing w:line="600" w:lineRule="exact"/>
        <w:ind w:firstLine="643" w:firstLineChars="200"/>
        <w:outlineLvl w:val="2"/>
        <w:rPr>
          <w:rFonts w:ascii="仿宋" w:hAnsi="仿宋" w:eastAsia="仿宋"/>
          <w:color w:val="000000"/>
          <w:sz w:val="32"/>
          <w:szCs w:val="32"/>
        </w:rPr>
      </w:pPr>
      <w:r>
        <w:rPr>
          <w:rFonts w:hint="eastAsia" w:ascii="仿宋" w:hAnsi="仿宋" w:eastAsia="仿宋"/>
          <w:b/>
          <w:color w:val="000000"/>
          <w:sz w:val="32"/>
          <w:szCs w:val="32"/>
        </w:rPr>
        <w:t>（一）机关运行经费支出情况</w:t>
      </w:r>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w:t>
      </w:r>
      <w:r>
        <w:rPr>
          <w:rFonts w:hint="eastAsia" w:ascii="仿宋_GB2312" w:eastAsia="仿宋_GB2312"/>
          <w:color w:val="000000"/>
          <w:sz w:val="32"/>
          <w:szCs w:val="32"/>
        </w:rPr>
        <w:t>21年，广安市人民医院机关运行经费支出0万元，与</w:t>
      </w:r>
      <w:r>
        <w:rPr>
          <w:rFonts w:ascii="仿宋_GB2312" w:eastAsia="仿宋_GB2312"/>
          <w:color w:val="000000"/>
          <w:sz w:val="32"/>
          <w:szCs w:val="32"/>
        </w:rPr>
        <w:t>20</w:t>
      </w:r>
      <w:r>
        <w:rPr>
          <w:rFonts w:hint="eastAsia" w:ascii="仿宋_GB2312" w:eastAsia="仿宋_GB2312"/>
          <w:color w:val="000000"/>
          <w:sz w:val="32"/>
          <w:szCs w:val="32"/>
        </w:rPr>
        <w:t>20年决算数持平。</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21年，广安市人民医院政府采购支出总额5864.27万元，其中：政府采购货物支出796.78万元，主要用于医疗设备、办公用品等采购；政府采购服务支出5067.49万元，主要是医院保洁服务、安保服务、中央运输服务等采购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p>
    <w:p>
      <w:pPr>
        <w:autoSpaceDE w:val="0"/>
        <w:autoSpaceDN w:val="0"/>
        <w:adjustRightInd w:val="0"/>
        <w:spacing w:line="600" w:lineRule="exact"/>
        <w:ind w:firstLine="640" w:firstLineChars="200"/>
        <w:jc w:val="left"/>
        <w:rPr>
          <w:rFonts w:ascii="仿宋" w:hAnsi="仿宋" w:eastAsia="仿宋"/>
          <w:b/>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rPr>
        <w:t>21年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日，广安市人民医院共有车辆16辆，其中：一般公务用车2辆、特种专业技术用车14辆（救护车）；</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万元以上通用设备7台（套），单价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万元以上专用设备70台（套）。</w:t>
      </w:r>
    </w:p>
    <w:p>
      <w:pPr>
        <w:spacing w:line="580" w:lineRule="exact"/>
        <w:ind w:firstLine="643" w:firstLineChars="200"/>
        <w:rPr>
          <w:rFonts w:ascii="仿宋" w:hAnsi="仿宋" w:eastAsia="仿宋" w:cs="楷体_GB2312"/>
          <w:b/>
          <w:bCs/>
          <w:sz w:val="32"/>
          <w:szCs w:val="32"/>
        </w:rPr>
      </w:pPr>
      <w:r>
        <w:rPr>
          <w:rFonts w:hint="eastAsia" w:ascii="仿宋" w:hAnsi="仿宋" w:eastAsia="仿宋"/>
          <w:b/>
          <w:color w:val="000000"/>
          <w:sz w:val="32"/>
          <w:szCs w:val="32"/>
        </w:rPr>
        <w:t>（四）</w:t>
      </w:r>
      <w:r>
        <w:rPr>
          <w:rFonts w:hint="eastAsia" w:ascii="仿宋" w:hAnsi="仿宋" w:eastAsia="仿宋" w:cs="楷体_GB2312"/>
          <w:b/>
          <w:bCs/>
          <w:sz w:val="32"/>
          <w:szCs w:val="32"/>
        </w:rPr>
        <w:t>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定额补助1个项目开展了预算事前绩效评估，对定额补助1个项目编制了绩效目标，预算执行过程中，选取定额补助1个项目开展绩效监控，年终执行完毕后，对1个项目开展了绩效目标完成情况梳理填报。</w:t>
      </w:r>
    </w:p>
    <w:p>
      <w:pPr>
        <w:spacing w:line="580" w:lineRule="exact"/>
        <w:ind w:firstLine="640" w:firstLineChars="200"/>
        <w:rPr>
          <w:rFonts w:ascii="仿宋" w:hAnsi="仿宋" w:eastAsia="仿宋" w:cs="楷体_GB2312"/>
          <w:b/>
          <w:bCs/>
          <w:color w:val="C00000"/>
          <w:sz w:val="32"/>
          <w:szCs w:val="32"/>
        </w:rPr>
      </w:pPr>
      <w:r>
        <w:rPr>
          <w:rFonts w:hint="eastAsia" w:ascii="仿宋_GB2312" w:hAnsi="仿宋_GB2312" w:eastAsia="仿宋_GB2312" w:cs="仿宋_GB2312"/>
          <w:sz w:val="32"/>
          <w:szCs w:val="32"/>
        </w:rPr>
        <w:t>本单位按要求对2021年部门整体支出开展绩效自评，从评价情况来看，资金分配合规，财务管理规范，资金使用完成率较高，本部门（单位）自评98分。</w:t>
      </w:r>
    </w:p>
    <w:p>
      <w:pPr>
        <w:spacing w:line="580" w:lineRule="exact"/>
        <w:ind w:firstLine="640"/>
        <w:rPr>
          <w:rFonts w:ascii="仿宋_GB2312" w:hAnsi="仿宋_GB2312" w:eastAsia="仿宋_GB2312" w:cs="仿宋_GB2312"/>
          <w:sz w:val="32"/>
          <w:szCs w:val="32"/>
        </w:rPr>
      </w:pPr>
      <w:r>
        <w:rPr>
          <w:rFonts w:hint="eastAsia" w:ascii="仿宋" w:hAnsi="仿宋" w:eastAsia="仿宋" w:cs="楷体_GB2312"/>
          <w:b/>
          <w:bCs/>
          <w:sz w:val="32"/>
          <w:szCs w:val="32"/>
        </w:rPr>
        <w:t>1.项目绩效目标完成情况。</w:t>
      </w:r>
    </w:p>
    <w:p>
      <w:pPr>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本部门在2021年度部门决算中反映定额补助1个项目绩效目标实际完成情况。</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定额补助项目绩效目标完成情况综述。项目全年预算数300万元，执行数为300万元，完成预算的100%。2021年，实现医院医疗业务收入增长8%，通过项目实施，保障了医院医疗业务活动正常开展，支持医疗卫生改革、促进医患关系和谐发展、提高病人满意度，发现的主要问题：医院就医环境不好，就医流程有待优化，病人满意度有待提高。下一步改进措施：改善就医环境，优化服务流程，强化服务理念，提高职工责任意识，促进患者有效交流和沟通，进一步提高患者满意度。</w:t>
      </w:r>
    </w:p>
    <w:tbl>
      <w:tblPr>
        <w:tblStyle w:val="12"/>
        <w:tblpPr w:leftFromText="180" w:rightFromText="180" w:vertAnchor="text" w:horzAnchor="page" w:tblpXSpec="center" w:tblpY="423"/>
        <w:tblOverlap w:val="never"/>
        <w:tblW w:w="5000" w:type="pct"/>
        <w:tblInd w:w="0" w:type="dxa"/>
        <w:tblLayout w:type="autofit"/>
        <w:tblCellMar>
          <w:top w:w="0" w:type="dxa"/>
          <w:left w:w="0" w:type="dxa"/>
          <w:bottom w:w="0" w:type="dxa"/>
          <w:right w:w="0" w:type="dxa"/>
        </w:tblCellMar>
      </w:tblPr>
      <w:tblGrid>
        <w:gridCol w:w="360"/>
        <w:gridCol w:w="1209"/>
        <w:gridCol w:w="906"/>
        <w:gridCol w:w="1116"/>
        <w:gridCol w:w="2404"/>
        <w:gridCol w:w="2341"/>
      </w:tblGrid>
      <w:tr>
        <w:tblPrEx>
          <w:tblCellMar>
            <w:top w:w="0" w:type="dxa"/>
            <w:left w:w="0" w:type="dxa"/>
            <w:bottom w:w="0" w:type="dxa"/>
            <w:right w:w="0" w:type="dxa"/>
          </w:tblCellMar>
        </w:tblPrEx>
        <w:trPr>
          <w:trHeight w:val="1034" w:hRule="atLeast"/>
        </w:trPr>
        <w:tc>
          <w:tcPr>
            <w:tcW w:w="5000" w:type="pct"/>
            <w:gridSpan w:val="6"/>
            <w:tcMar>
              <w:top w:w="15" w:type="dxa"/>
              <w:left w:w="15" w:type="dxa"/>
              <w:bottom w:w="0" w:type="dxa"/>
              <w:right w:w="15" w:type="dxa"/>
            </w:tcMar>
            <w:vAlign w:val="center"/>
          </w:tcPr>
          <w:p>
            <w:pPr>
              <w:pStyle w:val="30"/>
              <w:widowControl/>
              <w:ind w:firstLine="417" w:firstLineChars="116"/>
              <w:jc w:val="center"/>
              <w:textAlignment w:val="center"/>
              <w:rPr>
                <w:rFonts w:ascii="黑体" w:hAnsi="黑体" w:eastAsia="黑体" w:cs="宋体"/>
                <w:bCs/>
                <w:color w:val="000000"/>
                <w:kern w:val="0"/>
                <w:sz w:val="36"/>
                <w:szCs w:val="36"/>
              </w:rPr>
            </w:pPr>
            <w:r>
              <w:rPr>
                <w:rFonts w:hint="eastAsia" w:ascii="黑体" w:hAnsi="黑体" w:eastAsia="黑体" w:cs="宋体"/>
                <w:bCs/>
                <w:color w:val="000000"/>
                <w:kern w:val="0"/>
                <w:sz w:val="36"/>
                <w:szCs w:val="36"/>
              </w:rPr>
              <w:t>项目支出绩效目标完成情况表</w:t>
            </w:r>
          </w:p>
          <w:p>
            <w:pPr>
              <w:pStyle w:val="30"/>
              <w:widowControl/>
              <w:ind w:firstLine="417" w:firstLineChars="116"/>
              <w:jc w:val="center"/>
              <w:textAlignment w:val="center"/>
              <w:rPr>
                <w:rFonts w:ascii="宋体" w:hAnsi="宋体" w:cs="宋体"/>
                <w:color w:val="000000"/>
                <w:sz w:val="32"/>
                <w:szCs w:val="32"/>
              </w:rPr>
            </w:pPr>
            <w:r>
              <w:rPr>
                <w:rFonts w:hint="eastAsia" w:ascii="宋体" w:hAnsi="宋体" w:cs="宋体"/>
                <w:color w:val="000000"/>
                <w:kern w:val="0"/>
                <w:sz w:val="36"/>
                <w:szCs w:val="36"/>
              </w:rPr>
              <w:t>(2021年度)</w:t>
            </w:r>
          </w:p>
        </w:tc>
      </w:tr>
      <w:tr>
        <w:tblPrEx>
          <w:tblCellMar>
            <w:top w:w="0" w:type="dxa"/>
            <w:left w:w="0" w:type="dxa"/>
            <w:bottom w:w="0" w:type="dxa"/>
            <w:right w:w="0" w:type="dxa"/>
          </w:tblCellMar>
        </w:tblPrEx>
        <w:trPr>
          <w:trHeight w:val="462" w:hRule="atLeast"/>
        </w:trPr>
        <w:tc>
          <w:tcPr>
            <w:tcW w:w="1479"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项目名称</w:t>
            </w:r>
          </w:p>
        </w:tc>
        <w:tc>
          <w:tcPr>
            <w:tcW w:w="3521"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常年定额补助</w:t>
            </w:r>
          </w:p>
        </w:tc>
      </w:tr>
      <w:tr>
        <w:tblPrEx>
          <w:tblCellMar>
            <w:top w:w="0" w:type="dxa"/>
            <w:left w:w="0" w:type="dxa"/>
            <w:bottom w:w="0" w:type="dxa"/>
            <w:right w:w="0" w:type="dxa"/>
          </w:tblCellMar>
        </w:tblPrEx>
        <w:trPr>
          <w:trHeight w:val="407" w:hRule="atLeast"/>
        </w:trPr>
        <w:tc>
          <w:tcPr>
            <w:tcW w:w="1479"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预算单位</w:t>
            </w:r>
          </w:p>
        </w:tc>
        <w:tc>
          <w:tcPr>
            <w:tcW w:w="3521"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广安市人民医院</w:t>
            </w:r>
          </w:p>
        </w:tc>
      </w:tr>
      <w:tr>
        <w:tblPrEx>
          <w:tblCellMar>
            <w:top w:w="0" w:type="dxa"/>
            <w:left w:w="0" w:type="dxa"/>
            <w:bottom w:w="0" w:type="dxa"/>
            <w:right w:w="0" w:type="dxa"/>
          </w:tblCellMar>
        </w:tblPrEx>
        <w:trPr>
          <w:trHeight w:val="477" w:hRule="atLeast"/>
        </w:trPr>
        <w:tc>
          <w:tcPr>
            <w:tcW w:w="207"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预算执行情况(万元)</w:t>
            </w:r>
          </w:p>
        </w:tc>
        <w:tc>
          <w:tcPr>
            <w:tcW w:w="1272"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预算数:</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300</w:t>
            </w:r>
          </w:p>
        </w:tc>
        <w:tc>
          <w:tcPr>
            <w:tcW w:w="14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执行数:</w:t>
            </w:r>
          </w:p>
        </w:tc>
        <w:tc>
          <w:tcPr>
            <w:tcW w:w="140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300</w:t>
            </w:r>
          </w:p>
        </w:tc>
      </w:tr>
      <w:tr>
        <w:tblPrEx>
          <w:tblCellMar>
            <w:top w:w="0" w:type="dxa"/>
            <w:left w:w="0" w:type="dxa"/>
            <w:bottom w:w="0" w:type="dxa"/>
            <w:right w:w="0" w:type="dxa"/>
          </w:tblCellMar>
        </w:tblPrEx>
        <w:trPr>
          <w:trHeight w:val="307" w:hRule="atLeast"/>
        </w:trPr>
        <w:tc>
          <w:tcPr>
            <w:tcW w:w="20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1272"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其中-财政拨款:</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300</w:t>
            </w:r>
          </w:p>
        </w:tc>
        <w:tc>
          <w:tcPr>
            <w:tcW w:w="14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其中-财政拨款:</w:t>
            </w:r>
          </w:p>
        </w:tc>
        <w:tc>
          <w:tcPr>
            <w:tcW w:w="140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300</w:t>
            </w:r>
          </w:p>
        </w:tc>
      </w:tr>
      <w:tr>
        <w:tblPrEx>
          <w:tblCellMar>
            <w:top w:w="0" w:type="dxa"/>
            <w:left w:w="0" w:type="dxa"/>
            <w:bottom w:w="0" w:type="dxa"/>
            <w:right w:w="0" w:type="dxa"/>
          </w:tblCellMar>
        </w:tblPrEx>
        <w:trPr>
          <w:trHeight w:val="1037" w:hRule="atLeast"/>
        </w:trPr>
        <w:tc>
          <w:tcPr>
            <w:tcW w:w="20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1272"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其它资金:</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4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其它资金:</w:t>
            </w:r>
          </w:p>
        </w:tc>
        <w:tc>
          <w:tcPr>
            <w:tcW w:w="140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497" w:hRule="atLeast"/>
        </w:trPr>
        <w:tc>
          <w:tcPr>
            <w:tcW w:w="207"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年度目标完成情况</w:t>
            </w:r>
          </w:p>
        </w:tc>
        <w:tc>
          <w:tcPr>
            <w:tcW w:w="1942"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预期目标</w:t>
            </w:r>
          </w:p>
        </w:tc>
        <w:tc>
          <w:tcPr>
            <w:tcW w:w="2850"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实际完成目标</w:t>
            </w:r>
          </w:p>
        </w:tc>
      </w:tr>
      <w:tr>
        <w:tblPrEx>
          <w:tblCellMar>
            <w:top w:w="0" w:type="dxa"/>
            <w:left w:w="0" w:type="dxa"/>
            <w:bottom w:w="0" w:type="dxa"/>
            <w:right w:w="0" w:type="dxa"/>
          </w:tblCellMar>
        </w:tblPrEx>
        <w:trPr>
          <w:trHeight w:val="1004" w:hRule="atLeast"/>
        </w:trPr>
        <w:tc>
          <w:tcPr>
            <w:tcW w:w="20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1942"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医疗业务收入实现持续稳定增长</w:t>
            </w:r>
          </w:p>
        </w:tc>
        <w:tc>
          <w:tcPr>
            <w:tcW w:w="2850"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医疗业务收入实现持续稳定增长</w:t>
            </w:r>
          </w:p>
        </w:tc>
      </w:tr>
      <w:tr>
        <w:tblPrEx>
          <w:tblCellMar>
            <w:top w:w="0" w:type="dxa"/>
            <w:left w:w="0" w:type="dxa"/>
            <w:bottom w:w="0" w:type="dxa"/>
            <w:right w:w="0" w:type="dxa"/>
          </w:tblCellMar>
        </w:tblPrEx>
        <w:trPr>
          <w:trHeight w:val="882" w:hRule="atLeast"/>
        </w:trPr>
        <w:tc>
          <w:tcPr>
            <w:tcW w:w="207"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绩效指标完成情况</w:t>
            </w:r>
          </w:p>
        </w:tc>
        <w:tc>
          <w:tcPr>
            <w:tcW w:w="72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一级指标</w:t>
            </w: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二级指标</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三级指标</w:t>
            </w:r>
          </w:p>
        </w:tc>
        <w:tc>
          <w:tcPr>
            <w:tcW w:w="14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预期指标值</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(包含数字及文字描述)</w:t>
            </w:r>
          </w:p>
        </w:tc>
        <w:tc>
          <w:tcPr>
            <w:tcW w:w="140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实际完成指标值</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(包含数字及文字描述)</w:t>
            </w:r>
          </w:p>
        </w:tc>
      </w:tr>
      <w:tr>
        <w:tblPrEx>
          <w:tblCellMar>
            <w:top w:w="0" w:type="dxa"/>
            <w:left w:w="0" w:type="dxa"/>
            <w:bottom w:w="0" w:type="dxa"/>
            <w:right w:w="0" w:type="dxa"/>
          </w:tblCellMar>
        </w:tblPrEx>
        <w:trPr>
          <w:trHeight w:val="883" w:hRule="atLeast"/>
        </w:trPr>
        <w:tc>
          <w:tcPr>
            <w:tcW w:w="20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72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项目完成指标</w:t>
            </w: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质量指标</w:t>
            </w:r>
          </w:p>
        </w:tc>
        <w:tc>
          <w:tcPr>
            <w:tcW w:w="14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防范恶性医疗纠纷，杜绝重大医疗事故</w:t>
            </w:r>
          </w:p>
        </w:tc>
        <w:tc>
          <w:tcPr>
            <w:tcW w:w="140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有效防范恶性医疗纠纷，没有出现重大医疗事故</w:t>
            </w:r>
          </w:p>
        </w:tc>
      </w:tr>
      <w:tr>
        <w:tblPrEx>
          <w:tblCellMar>
            <w:top w:w="0" w:type="dxa"/>
            <w:left w:w="0" w:type="dxa"/>
            <w:bottom w:w="0" w:type="dxa"/>
            <w:right w:w="0" w:type="dxa"/>
          </w:tblCellMar>
        </w:tblPrEx>
        <w:trPr>
          <w:trHeight w:val="477" w:hRule="atLeast"/>
        </w:trPr>
        <w:tc>
          <w:tcPr>
            <w:tcW w:w="20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72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项目完成指标</w:t>
            </w: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完成时间</w:t>
            </w:r>
          </w:p>
        </w:tc>
        <w:tc>
          <w:tcPr>
            <w:tcW w:w="14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2021年12月底</w:t>
            </w:r>
          </w:p>
        </w:tc>
        <w:tc>
          <w:tcPr>
            <w:tcW w:w="140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2021年12月底</w:t>
            </w:r>
          </w:p>
        </w:tc>
      </w:tr>
      <w:tr>
        <w:tblPrEx>
          <w:tblCellMar>
            <w:top w:w="0" w:type="dxa"/>
            <w:left w:w="0" w:type="dxa"/>
            <w:bottom w:w="0" w:type="dxa"/>
            <w:right w:w="0" w:type="dxa"/>
          </w:tblCellMar>
        </w:tblPrEx>
        <w:trPr>
          <w:trHeight w:val="912" w:hRule="atLeast"/>
        </w:trPr>
        <w:tc>
          <w:tcPr>
            <w:tcW w:w="20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72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项目完成指标</w:t>
            </w: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成本费用</w:t>
            </w:r>
          </w:p>
        </w:tc>
        <w:tc>
          <w:tcPr>
            <w:tcW w:w="14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人员经费占总成本≦40%,</w:t>
            </w:r>
          </w:p>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专用材料占总成本≦55%</w:t>
            </w:r>
          </w:p>
        </w:tc>
        <w:tc>
          <w:tcPr>
            <w:tcW w:w="140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人员经费占总成本32%,专用材料占总成本53%</w:t>
            </w:r>
          </w:p>
        </w:tc>
      </w:tr>
      <w:tr>
        <w:tblPrEx>
          <w:tblCellMar>
            <w:top w:w="0" w:type="dxa"/>
            <w:left w:w="0" w:type="dxa"/>
            <w:bottom w:w="0" w:type="dxa"/>
            <w:right w:w="0" w:type="dxa"/>
          </w:tblCellMar>
        </w:tblPrEx>
        <w:trPr>
          <w:trHeight w:val="807" w:hRule="atLeast"/>
        </w:trPr>
        <w:tc>
          <w:tcPr>
            <w:tcW w:w="20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72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项目完成指标</w:t>
            </w: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门急诊人次</w:t>
            </w:r>
          </w:p>
        </w:tc>
        <w:tc>
          <w:tcPr>
            <w:tcW w:w="14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完成门急诊量≧87万人次</w:t>
            </w:r>
          </w:p>
        </w:tc>
        <w:tc>
          <w:tcPr>
            <w:tcW w:w="140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完成门急诊量109万人次</w:t>
            </w:r>
          </w:p>
        </w:tc>
      </w:tr>
      <w:tr>
        <w:tblPrEx>
          <w:tblCellMar>
            <w:top w:w="0" w:type="dxa"/>
            <w:left w:w="0" w:type="dxa"/>
            <w:bottom w:w="0" w:type="dxa"/>
            <w:right w:w="0" w:type="dxa"/>
          </w:tblCellMar>
        </w:tblPrEx>
        <w:trPr>
          <w:trHeight w:val="542" w:hRule="atLeast"/>
        </w:trPr>
        <w:tc>
          <w:tcPr>
            <w:tcW w:w="20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72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项目完成指标</w:t>
            </w: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住院人次</w:t>
            </w:r>
          </w:p>
        </w:tc>
        <w:tc>
          <w:tcPr>
            <w:tcW w:w="14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出院病人≧8万人次</w:t>
            </w:r>
          </w:p>
        </w:tc>
        <w:tc>
          <w:tcPr>
            <w:tcW w:w="140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出院病人7.03万人次</w:t>
            </w:r>
          </w:p>
        </w:tc>
      </w:tr>
      <w:tr>
        <w:tblPrEx>
          <w:tblCellMar>
            <w:top w:w="0" w:type="dxa"/>
            <w:left w:w="0" w:type="dxa"/>
            <w:bottom w:w="0" w:type="dxa"/>
            <w:right w:w="0" w:type="dxa"/>
          </w:tblCellMar>
        </w:tblPrEx>
        <w:trPr>
          <w:trHeight w:val="602" w:hRule="atLeast"/>
        </w:trPr>
        <w:tc>
          <w:tcPr>
            <w:tcW w:w="20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72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p>
        </w:tc>
        <w:tc>
          <w:tcPr>
            <w:tcW w:w="14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医疗收入增长≧3%</w:t>
            </w:r>
          </w:p>
        </w:tc>
        <w:tc>
          <w:tcPr>
            <w:tcW w:w="140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医疗收入增长8%</w:t>
            </w:r>
          </w:p>
        </w:tc>
      </w:tr>
      <w:tr>
        <w:tblPrEx>
          <w:tblCellMar>
            <w:top w:w="0" w:type="dxa"/>
            <w:left w:w="0" w:type="dxa"/>
            <w:bottom w:w="0" w:type="dxa"/>
            <w:right w:w="0" w:type="dxa"/>
          </w:tblCellMar>
        </w:tblPrEx>
        <w:trPr>
          <w:trHeight w:val="882" w:hRule="atLeast"/>
        </w:trPr>
        <w:tc>
          <w:tcPr>
            <w:tcW w:w="20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72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p>
        </w:tc>
        <w:tc>
          <w:tcPr>
            <w:tcW w:w="14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污水处理达标率100%，    医疗废物处置率100%</w:t>
            </w:r>
          </w:p>
        </w:tc>
        <w:tc>
          <w:tcPr>
            <w:tcW w:w="140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污水处理达标率100%，     医疗废物处置率100%</w:t>
            </w:r>
          </w:p>
        </w:tc>
      </w:tr>
      <w:tr>
        <w:tblPrEx>
          <w:tblCellMar>
            <w:top w:w="0" w:type="dxa"/>
            <w:left w:w="0" w:type="dxa"/>
            <w:bottom w:w="0" w:type="dxa"/>
            <w:right w:w="0" w:type="dxa"/>
          </w:tblCellMar>
        </w:tblPrEx>
        <w:trPr>
          <w:trHeight w:val="577" w:hRule="atLeast"/>
        </w:trPr>
        <w:tc>
          <w:tcPr>
            <w:tcW w:w="20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72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p>
        </w:tc>
        <w:tc>
          <w:tcPr>
            <w:tcW w:w="14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医院综合实力持续加强</w:t>
            </w:r>
          </w:p>
        </w:tc>
        <w:tc>
          <w:tcPr>
            <w:tcW w:w="140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bCs/>
                <w:kern w:val="0"/>
                <w:sz w:val="22"/>
                <w:szCs w:val="22"/>
              </w:rPr>
              <w:t>深化华西战略合作，提升医疗质量水平</w:t>
            </w:r>
          </w:p>
        </w:tc>
      </w:tr>
      <w:tr>
        <w:tblPrEx>
          <w:tblCellMar>
            <w:top w:w="0" w:type="dxa"/>
            <w:left w:w="0" w:type="dxa"/>
            <w:bottom w:w="0" w:type="dxa"/>
            <w:right w:w="0" w:type="dxa"/>
          </w:tblCellMar>
        </w:tblPrEx>
        <w:trPr>
          <w:trHeight w:val="657" w:hRule="atLeast"/>
        </w:trPr>
        <w:tc>
          <w:tcPr>
            <w:tcW w:w="20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72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效益指标</w:t>
            </w: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p>
        </w:tc>
        <w:tc>
          <w:tcPr>
            <w:tcW w:w="14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医疗服务水平持续提升</w:t>
            </w:r>
          </w:p>
        </w:tc>
        <w:tc>
          <w:tcPr>
            <w:tcW w:w="140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bCs/>
                <w:kern w:val="0"/>
                <w:sz w:val="22"/>
                <w:szCs w:val="22"/>
              </w:rPr>
              <w:t>改善就医及结算流程、提升护理服务质量</w:t>
            </w:r>
          </w:p>
        </w:tc>
      </w:tr>
      <w:tr>
        <w:tblPrEx>
          <w:tblCellMar>
            <w:top w:w="0" w:type="dxa"/>
            <w:left w:w="0" w:type="dxa"/>
            <w:bottom w:w="0" w:type="dxa"/>
            <w:right w:w="0" w:type="dxa"/>
          </w:tblCellMar>
        </w:tblPrEx>
        <w:trPr>
          <w:trHeight w:val="1050" w:hRule="atLeast"/>
        </w:trPr>
        <w:tc>
          <w:tcPr>
            <w:tcW w:w="20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72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患者满意度</w:t>
            </w:r>
          </w:p>
        </w:tc>
        <w:tc>
          <w:tcPr>
            <w:tcW w:w="14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社会公众或服务对象满意度；社会对医院工作满意率≧90%</w:t>
            </w:r>
          </w:p>
        </w:tc>
        <w:tc>
          <w:tcPr>
            <w:tcW w:w="140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门诊患者满意度98.97%； 住院患者满意度98.97%</w:t>
            </w:r>
          </w:p>
        </w:tc>
      </w:tr>
    </w:tbl>
    <w:p>
      <w:pPr>
        <w:spacing w:line="580" w:lineRule="exact"/>
        <w:rPr>
          <w:rFonts w:ascii="仿宋" w:hAnsi="仿宋" w:eastAsia="仿宋" w:cs="楷体_GB2312"/>
          <w:b/>
          <w:bCs/>
          <w:sz w:val="32"/>
          <w:szCs w:val="32"/>
        </w:rPr>
      </w:pPr>
    </w:p>
    <w:p>
      <w:pPr>
        <w:spacing w:line="580" w:lineRule="exact"/>
        <w:rPr>
          <w:rFonts w:ascii="仿宋" w:hAnsi="仿宋" w:eastAsia="仿宋" w:cs="仿宋_GB2312"/>
          <w:sz w:val="32"/>
          <w:szCs w:val="32"/>
        </w:rPr>
      </w:pPr>
      <w:r>
        <w:rPr>
          <w:rFonts w:hint="eastAsia" w:ascii="仿宋" w:hAnsi="仿宋" w:eastAsia="仿宋" w:cs="楷体_GB2312"/>
          <w:b/>
          <w:bCs/>
          <w:sz w:val="32"/>
          <w:szCs w:val="32"/>
        </w:rPr>
        <w:t>（三）部门开展绩效评价结果。</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本部门按要求对2021年部门整体支出绩效评价情况开展自评，《广安市人民医院2021年部门整体支出绩效评价报告》见附件。</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jc w:val="center"/>
        <w:outlineLvl w:val="0"/>
        <w:rPr>
          <w:rStyle w:val="24"/>
          <w:rFonts w:ascii="黑体" w:hAnsi="黑体" w:eastAsia="黑体"/>
          <w:b w:val="0"/>
        </w:rPr>
      </w:pPr>
      <w:bookmarkStart w:id="48" w:name="_Toc15396613"/>
      <w:bookmarkStart w:id="49"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48"/>
      <w:bookmarkEnd w:id="49"/>
    </w:p>
    <w:p>
      <w:pPr>
        <w:spacing w:line="600" w:lineRule="exact"/>
        <w:jc w:val="left"/>
        <w:rPr>
          <w:rFonts w:ascii="宋体"/>
          <w:b/>
          <w:color w:val="000000"/>
          <w:sz w:val="44"/>
          <w:szCs w:val="44"/>
        </w:rPr>
      </w:pPr>
    </w:p>
    <w:p>
      <w:pPr>
        <w:pStyle w:val="22"/>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1.财政拨款收入：指单位从同级财政部门取得的财政预算资金。</w:t>
      </w:r>
    </w:p>
    <w:p>
      <w:pPr>
        <w:pStyle w:val="22"/>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2.事业收入：指事业单位开展专业业务活动及辅助活动取得的收入。如医院的医疗业务收入。</w:t>
      </w:r>
    </w:p>
    <w:p>
      <w:pPr>
        <w:pStyle w:val="22"/>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3.经营收入：指事业单位在专业业务活动及其辅助活动之外开展非独立核算经营活动取得的收入。</w:t>
      </w:r>
    </w:p>
    <w:p>
      <w:pPr>
        <w:pStyle w:val="22"/>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4.其他收入：指单位取得的除上述收入以外的各项收入。 </w:t>
      </w:r>
    </w:p>
    <w:p>
      <w:pPr>
        <w:pStyle w:val="22"/>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5.使用非财政拨款结余：指事业单位使用以前年度积累的非财政拨款结余弥补当年收支差额的金额。 </w:t>
      </w:r>
    </w:p>
    <w:p>
      <w:pPr>
        <w:pStyle w:val="22"/>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6.年初结转和结余：指以前年度尚未完成、结转到本年按有关规定继续使用的资金。 </w:t>
      </w:r>
    </w:p>
    <w:p>
      <w:pPr>
        <w:pStyle w:val="22"/>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7.结余分配：指事业单位按照事业单位会计制度的规定从非财政补助结余中分配的事业基金和职工福利基金等。</w:t>
      </w:r>
    </w:p>
    <w:p>
      <w:pPr>
        <w:pStyle w:val="22"/>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8、年末结转和结余：指单位按有关规定结转到下年或以后年度继续使用的资金。</w:t>
      </w:r>
    </w:p>
    <w:p>
      <w:pPr>
        <w:numPr>
          <w:ilvl w:val="0"/>
          <w:numId w:val="4"/>
        </w:numPr>
        <w:overflowPunct w:val="0"/>
        <w:spacing w:line="580" w:lineRule="exact"/>
        <w:ind w:firstLine="640" w:firstLineChars="200"/>
        <w:rPr>
          <w:rStyle w:val="14"/>
          <w:rFonts w:ascii="仿宋_GB2312" w:hAnsi="仿宋_GB2312" w:eastAsia="仿宋_GB2312" w:cs="仿宋_GB2312"/>
          <w:b w:val="0"/>
          <w:color w:val="000000"/>
          <w:sz w:val="32"/>
          <w:szCs w:val="32"/>
        </w:rPr>
      </w:pPr>
      <w:r>
        <w:rPr>
          <w:rStyle w:val="14"/>
          <w:rFonts w:hint="eastAsia" w:ascii="仿宋_GB2312" w:hAnsi="仿宋_GB2312" w:eastAsia="仿宋_GB2312" w:cs="仿宋_GB2312"/>
          <w:b w:val="0"/>
          <w:bCs/>
          <w:color w:val="000000"/>
          <w:sz w:val="32"/>
          <w:szCs w:val="32"/>
        </w:rPr>
        <w:t>科学技术支出（类）技术研究与开发（款）科技成果转化与扩散（项）：</w:t>
      </w:r>
      <w:r>
        <w:rPr>
          <w:rStyle w:val="14"/>
          <w:rFonts w:hint="eastAsia" w:ascii="仿宋_GB2312" w:hAnsi="仿宋_GB2312" w:eastAsia="仿宋_GB2312" w:cs="仿宋_GB2312"/>
          <w:b w:val="0"/>
          <w:color w:val="000000"/>
          <w:sz w:val="32"/>
          <w:szCs w:val="32"/>
        </w:rPr>
        <w:t>指用于科学技术成果转化和扩散方面的项目支出。</w:t>
      </w:r>
    </w:p>
    <w:p>
      <w:pPr>
        <w:numPr>
          <w:ilvl w:val="0"/>
          <w:numId w:val="4"/>
        </w:numPr>
        <w:overflowPunct w:val="0"/>
        <w:spacing w:line="580" w:lineRule="exact"/>
        <w:ind w:firstLine="640" w:firstLineChars="200"/>
        <w:rPr>
          <w:rStyle w:val="14"/>
          <w:rFonts w:ascii="仿宋_GB2312" w:hAnsi="仿宋_GB2312" w:eastAsia="仿宋_GB2312" w:cs="仿宋_GB2312"/>
          <w:b w:val="0"/>
          <w:color w:val="000000"/>
          <w:sz w:val="32"/>
          <w:szCs w:val="32"/>
        </w:rPr>
      </w:pPr>
      <w:r>
        <w:rPr>
          <w:rStyle w:val="14"/>
          <w:rFonts w:hint="eastAsia" w:ascii="仿宋_GB2312" w:hAnsi="仿宋_GB2312" w:eastAsia="仿宋_GB2312" w:cs="仿宋_GB2312"/>
          <w:b w:val="0"/>
          <w:color w:val="000000"/>
          <w:sz w:val="32"/>
          <w:szCs w:val="32"/>
        </w:rPr>
        <w:t>科学技术支出（类）技术研究与开发（款） 其他技术研究与开发支出（项）:指用于科其他技术研究与开发支出方面的项目支出。</w:t>
      </w:r>
    </w:p>
    <w:p>
      <w:pPr>
        <w:numPr>
          <w:ilvl w:val="0"/>
          <w:numId w:val="4"/>
        </w:numPr>
        <w:overflowPunct w:val="0"/>
        <w:spacing w:line="580" w:lineRule="exact"/>
        <w:ind w:firstLine="640" w:firstLineChars="200"/>
        <w:rPr>
          <w:rStyle w:val="14"/>
          <w:rFonts w:ascii="仿宋_GB2312" w:hAnsi="仿宋_GB2312" w:eastAsia="仿宋_GB2312" w:cs="仿宋_GB2312"/>
          <w:b w:val="0"/>
          <w:color w:val="000000"/>
          <w:sz w:val="32"/>
          <w:szCs w:val="32"/>
        </w:rPr>
      </w:pPr>
      <w:r>
        <w:rPr>
          <w:rStyle w:val="14"/>
          <w:rFonts w:hint="eastAsia" w:ascii="仿宋_GB2312" w:hAnsi="仿宋_GB2312" w:eastAsia="仿宋_GB2312" w:cs="仿宋_GB2312"/>
          <w:b w:val="0"/>
          <w:color w:val="000000"/>
          <w:sz w:val="32"/>
          <w:szCs w:val="32"/>
        </w:rPr>
        <w:t>科学技术支出（类）科技重大项目（款）重点研发计划（项）:指用于重点研发计划的项目经费支出。</w:t>
      </w:r>
    </w:p>
    <w:p>
      <w:pPr>
        <w:numPr>
          <w:ilvl w:val="0"/>
          <w:numId w:val="4"/>
        </w:numPr>
        <w:spacing w:line="600" w:lineRule="exact"/>
        <w:ind w:firstLine="640" w:firstLineChars="200"/>
        <w:rPr>
          <w:rStyle w:val="14"/>
          <w:rFonts w:ascii="仿宋_GB2312" w:hAnsi="仿宋_GB2312" w:eastAsia="仿宋_GB2312" w:cs="仿宋_GB2312"/>
          <w:b w:val="0"/>
          <w:color w:val="000000"/>
          <w:sz w:val="32"/>
          <w:szCs w:val="32"/>
        </w:rPr>
      </w:pPr>
      <w:r>
        <w:rPr>
          <w:rStyle w:val="14"/>
          <w:rFonts w:hint="eastAsia" w:ascii="仿宋_GB2312" w:hAnsi="仿宋_GB2312" w:eastAsia="仿宋_GB2312" w:cs="仿宋_GB2312"/>
          <w:b w:val="0"/>
          <w:color w:val="000000"/>
          <w:sz w:val="32"/>
          <w:szCs w:val="32"/>
        </w:rPr>
        <w:t>科学技术支出（类）其他科学技术支出（款）科技奖励（项）:指用于科学技术奖励方面的支出。</w:t>
      </w:r>
    </w:p>
    <w:p>
      <w:pPr>
        <w:numPr>
          <w:ilvl w:val="0"/>
          <w:numId w:val="4"/>
        </w:numPr>
        <w:spacing w:line="600" w:lineRule="exact"/>
        <w:ind w:firstLine="640" w:firstLineChars="200"/>
        <w:rPr>
          <w:rStyle w:val="14"/>
          <w:rFonts w:ascii="仿宋_GB2312" w:hAnsi="仿宋_GB2312" w:eastAsia="仿宋_GB2312" w:cs="仿宋_GB2312"/>
          <w:b w:val="0"/>
          <w:color w:val="000000"/>
          <w:sz w:val="32"/>
          <w:szCs w:val="32"/>
        </w:rPr>
      </w:pPr>
      <w:r>
        <w:rPr>
          <w:rStyle w:val="14"/>
          <w:rFonts w:hint="eastAsia" w:ascii="仿宋_GB2312" w:hAnsi="仿宋_GB2312" w:eastAsia="仿宋_GB2312" w:cs="仿宋_GB2312"/>
          <w:b w:val="0"/>
          <w:color w:val="000000"/>
          <w:sz w:val="32"/>
          <w:szCs w:val="32"/>
        </w:rPr>
        <w:t>科学技术支出（类）其他科学技术支出（款）其他科学技术支出（项）:指用于他科学技术支出方面的支出。</w:t>
      </w:r>
    </w:p>
    <w:p>
      <w:pPr>
        <w:overflowPunct w:val="0"/>
        <w:spacing w:line="580" w:lineRule="exact"/>
        <w:ind w:firstLine="640" w:firstLineChars="200"/>
        <w:rPr>
          <w:rStyle w:val="14"/>
          <w:rFonts w:ascii="仿宋_GB2312" w:hAnsi="仿宋_GB2312" w:eastAsia="仿宋_GB2312" w:cs="仿宋_GB2312"/>
          <w:b w:val="0"/>
          <w:color w:val="000000"/>
          <w:sz w:val="32"/>
          <w:szCs w:val="32"/>
        </w:rPr>
      </w:pPr>
      <w:r>
        <w:rPr>
          <w:rStyle w:val="14"/>
          <w:rFonts w:hint="eastAsia" w:ascii="仿宋_GB2312" w:hAnsi="仿宋_GB2312" w:eastAsia="仿宋_GB2312" w:cs="仿宋_GB2312"/>
          <w:b w:val="0"/>
          <w:color w:val="000000"/>
          <w:sz w:val="32"/>
          <w:szCs w:val="32"/>
        </w:rPr>
        <w:t>14.</w:t>
      </w:r>
      <w:r>
        <w:rPr>
          <w:rStyle w:val="14"/>
          <w:rFonts w:hint="eastAsia" w:ascii="仿宋_GB2312" w:hAnsi="仿宋_GB2312" w:eastAsia="仿宋_GB2312" w:cs="仿宋_GB2312"/>
          <w:b w:val="0"/>
          <w:bCs/>
          <w:color w:val="000000"/>
          <w:sz w:val="32"/>
          <w:szCs w:val="32"/>
        </w:rPr>
        <w:t>社会保障和就业支出（类）抚恤（款）其他优抚支出（项）：</w:t>
      </w:r>
      <w:r>
        <w:rPr>
          <w:rStyle w:val="14"/>
          <w:rFonts w:hint="eastAsia" w:ascii="仿宋_GB2312" w:hAnsi="仿宋_GB2312" w:eastAsia="仿宋_GB2312" w:cs="仿宋_GB2312"/>
          <w:b w:val="0"/>
          <w:color w:val="000000"/>
          <w:sz w:val="32"/>
          <w:szCs w:val="32"/>
        </w:rPr>
        <w:t>指用于优抚方面的项目支出。</w:t>
      </w:r>
    </w:p>
    <w:p>
      <w:pPr>
        <w:overflowPunct w:val="0"/>
        <w:spacing w:line="580" w:lineRule="exact"/>
        <w:ind w:firstLine="640" w:firstLineChars="200"/>
        <w:rPr>
          <w:rStyle w:val="14"/>
          <w:rFonts w:ascii="仿宋_GB2312" w:hAnsi="仿宋_GB2312" w:eastAsia="仿宋_GB2312" w:cs="仿宋_GB2312"/>
          <w:b w:val="0"/>
          <w:color w:val="000000"/>
          <w:sz w:val="32"/>
          <w:szCs w:val="32"/>
        </w:rPr>
      </w:pPr>
      <w:r>
        <w:rPr>
          <w:rStyle w:val="14"/>
          <w:rFonts w:hint="eastAsia" w:ascii="仿宋_GB2312" w:hAnsi="仿宋_GB2312" w:eastAsia="仿宋_GB2312" w:cs="仿宋_GB2312"/>
          <w:b w:val="0"/>
          <w:color w:val="000000"/>
          <w:sz w:val="32"/>
          <w:szCs w:val="32"/>
        </w:rPr>
        <w:t>15.</w:t>
      </w:r>
      <w:r>
        <w:rPr>
          <w:rStyle w:val="14"/>
          <w:rFonts w:hint="eastAsia" w:ascii="仿宋_GB2312" w:hAnsi="仿宋_GB2312" w:eastAsia="仿宋_GB2312" w:cs="仿宋_GB2312"/>
          <w:b w:val="0"/>
          <w:bCs/>
          <w:color w:val="000000"/>
          <w:sz w:val="32"/>
          <w:szCs w:val="32"/>
        </w:rPr>
        <w:t>卫生健康支出（类）卫生健康管理事务（款）其他卫生健康管理事务支出（项）</w:t>
      </w:r>
      <w:r>
        <w:rPr>
          <w:rStyle w:val="14"/>
          <w:rFonts w:hint="eastAsia" w:ascii="仿宋_GB2312" w:hAnsi="仿宋_GB2312" w:eastAsia="仿宋_GB2312" w:cs="仿宋_GB2312"/>
          <w:b w:val="0"/>
          <w:color w:val="000000"/>
          <w:sz w:val="32"/>
          <w:szCs w:val="32"/>
        </w:rPr>
        <w:t>: 指其他用于卫生健康方面的支出。</w:t>
      </w:r>
    </w:p>
    <w:p>
      <w:pPr>
        <w:overflowPunct w:val="0"/>
        <w:spacing w:line="580" w:lineRule="exact"/>
        <w:ind w:firstLine="640" w:firstLineChars="200"/>
        <w:rPr>
          <w:rStyle w:val="14"/>
          <w:rFonts w:ascii="仿宋_GB2312" w:hAnsi="仿宋_GB2312" w:eastAsia="仿宋_GB2312" w:cs="仿宋_GB2312"/>
          <w:b w:val="0"/>
          <w:color w:val="000000"/>
          <w:sz w:val="32"/>
          <w:szCs w:val="32"/>
        </w:rPr>
      </w:pPr>
      <w:r>
        <w:rPr>
          <w:rStyle w:val="14"/>
          <w:rFonts w:hint="eastAsia" w:ascii="仿宋_GB2312" w:hAnsi="仿宋_GB2312" w:eastAsia="仿宋_GB2312" w:cs="仿宋_GB2312"/>
          <w:b w:val="0"/>
          <w:color w:val="000000"/>
          <w:sz w:val="32"/>
          <w:szCs w:val="32"/>
        </w:rPr>
        <w:t>16.</w:t>
      </w:r>
      <w:r>
        <w:rPr>
          <w:rStyle w:val="14"/>
          <w:rFonts w:hint="eastAsia" w:ascii="仿宋_GB2312" w:hAnsi="仿宋_GB2312" w:eastAsia="仿宋_GB2312" w:cs="仿宋_GB2312"/>
          <w:b w:val="0"/>
          <w:bCs/>
          <w:color w:val="000000"/>
          <w:sz w:val="32"/>
          <w:szCs w:val="32"/>
        </w:rPr>
        <w:t xml:space="preserve"> 卫生健康支出（类）公立医院（款）综合医院（项）</w:t>
      </w:r>
      <w:r>
        <w:rPr>
          <w:rStyle w:val="14"/>
          <w:rFonts w:hint="eastAsia" w:ascii="仿宋_GB2312" w:hAnsi="仿宋_GB2312" w:eastAsia="仿宋_GB2312" w:cs="仿宋_GB2312"/>
          <w:b w:val="0"/>
          <w:color w:val="000000"/>
          <w:sz w:val="32"/>
          <w:szCs w:val="32"/>
        </w:rPr>
        <w:t>: 指用于公立医院方面的支出，含基建支出。</w:t>
      </w:r>
    </w:p>
    <w:p>
      <w:pPr>
        <w:overflowPunct w:val="0"/>
        <w:spacing w:line="580" w:lineRule="exact"/>
        <w:ind w:firstLine="640"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 w:val="0"/>
          <w:color w:val="000000"/>
          <w:sz w:val="32"/>
          <w:szCs w:val="32"/>
        </w:rPr>
        <w:t>17.</w:t>
      </w:r>
      <w:r>
        <w:rPr>
          <w:rStyle w:val="14"/>
          <w:rFonts w:hint="eastAsia" w:ascii="仿宋_GB2312" w:hAnsi="仿宋_GB2312" w:eastAsia="仿宋_GB2312" w:cs="仿宋_GB2312"/>
          <w:b w:val="0"/>
          <w:bCs/>
          <w:color w:val="000000"/>
          <w:sz w:val="32"/>
          <w:szCs w:val="32"/>
        </w:rPr>
        <w:t xml:space="preserve"> 卫生健康支出（类）公立医院（款）处理医疗欠费（项）：</w:t>
      </w:r>
      <w:r>
        <w:rPr>
          <w:rStyle w:val="14"/>
          <w:rFonts w:hint="eastAsia" w:ascii="仿宋_GB2312" w:hAnsi="仿宋_GB2312" w:eastAsia="仿宋_GB2312" w:cs="仿宋_GB2312"/>
          <w:b w:val="0"/>
          <w:color w:val="000000"/>
          <w:sz w:val="32"/>
          <w:szCs w:val="32"/>
        </w:rPr>
        <w:t>指用于医院医疗欠费方面的支出。</w:t>
      </w:r>
    </w:p>
    <w:p>
      <w:pPr>
        <w:spacing w:line="600" w:lineRule="exact"/>
        <w:ind w:firstLine="640"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 w:val="0"/>
          <w:bCs/>
          <w:color w:val="000000"/>
          <w:sz w:val="32"/>
          <w:szCs w:val="32"/>
        </w:rPr>
        <w:t>18.卫生健康支出（类）公立医院（款）其他公立医院支出（项）</w:t>
      </w:r>
      <w:r>
        <w:rPr>
          <w:rStyle w:val="14"/>
          <w:rFonts w:hint="eastAsia" w:ascii="仿宋_GB2312" w:hAnsi="仿宋_GB2312" w:eastAsia="仿宋_GB2312" w:cs="仿宋_GB2312"/>
          <w:b w:val="0"/>
          <w:color w:val="000000"/>
          <w:sz w:val="32"/>
          <w:szCs w:val="32"/>
        </w:rPr>
        <w:t>: 指其他用于公立医院方面的支出</w:t>
      </w:r>
      <w:r>
        <w:rPr>
          <w:rStyle w:val="14"/>
          <w:rFonts w:hint="eastAsia" w:ascii="仿宋_GB2312" w:hAnsi="仿宋_GB2312" w:eastAsia="仿宋_GB2312" w:cs="仿宋_GB2312"/>
          <w:b w:val="0"/>
          <w:bCs/>
          <w:color w:val="000000"/>
          <w:sz w:val="32"/>
          <w:szCs w:val="32"/>
        </w:rPr>
        <w:t>。</w:t>
      </w:r>
    </w:p>
    <w:p>
      <w:pPr>
        <w:overflowPunct w:val="0"/>
        <w:spacing w:line="580" w:lineRule="exact"/>
        <w:ind w:firstLine="640" w:firstLineChars="200"/>
        <w:rPr>
          <w:rFonts w:ascii="仿宋_GB2312" w:hAnsi="仿宋_GB2312" w:eastAsia="仿宋_GB2312" w:cs="仿宋_GB2312"/>
          <w:b/>
          <w:bCs/>
          <w:color w:val="000000"/>
          <w:sz w:val="32"/>
          <w:szCs w:val="32"/>
        </w:rPr>
      </w:pPr>
      <w:r>
        <w:rPr>
          <w:rStyle w:val="14"/>
          <w:rFonts w:hint="eastAsia" w:ascii="仿宋_GB2312" w:hAnsi="仿宋_GB2312" w:eastAsia="仿宋_GB2312" w:cs="仿宋_GB2312"/>
          <w:b w:val="0"/>
          <w:bCs/>
          <w:color w:val="000000"/>
          <w:sz w:val="32"/>
          <w:szCs w:val="32"/>
        </w:rPr>
        <w:t>19.卫生健康支出（类）公共卫生（款）基本公共卫生服务（项）:</w:t>
      </w:r>
      <w:r>
        <w:rPr>
          <w:rStyle w:val="14"/>
          <w:rFonts w:hint="eastAsia" w:ascii="仿宋_GB2312" w:hAnsi="仿宋_GB2312" w:eastAsia="仿宋_GB2312" w:cs="仿宋_GB2312"/>
          <w:b w:val="0"/>
          <w:color w:val="000000"/>
          <w:sz w:val="32"/>
          <w:szCs w:val="32"/>
        </w:rPr>
        <w:t xml:space="preserve"> 指用于基本公共卫生服务项目支出。</w:t>
      </w:r>
    </w:p>
    <w:p>
      <w:pPr>
        <w:overflowPunct w:val="0"/>
        <w:spacing w:line="580" w:lineRule="exact"/>
        <w:ind w:firstLine="640" w:firstLineChars="200"/>
        <w:rPr>
          <w:rStyle w:val="14"/>
          <w:rFonts w:ascii="仿宋_GB2312" w:hAnsi="仿宋_GB2312" w:eastAsia="仿宋_GB2312" w:cs="仿宋_GB2312"/>
          <w:b w:val="0"/>
          <w:color w:val="000000"/>
          <w:sz w:val="32"/>
          <w:szCs w:val="32"/>
        </w:rPr>
      </w:pPr>
      <w:r>
        <w:rPr>
          <w:rStyle w:val="14"/>
          <w:rFonts w:hint="eastAsia" w:ascii="仿宋_GB2312" w:hAnsi="仿宋_GB2312" w:eastAsia="仿宋_GB2312" w:cs="仿宋_GB2312"/>
          <w:b w:val="0"/>
          <w:bCs/>
          <w:color w:val="000000"/>
          <w:sz w:val="32"/>
          <w:szCs w:val="32"/>
        </w:rPr>
        <w:t>20.卫生健康支出（类）公共卫生（款）重大公共卫生专项（项）:</w:t>
      </w:r>
      <w:r>
        <w:rPr>
          <w:rStyle w:val="14"/>
          <w:rFonts w:hint="eastAsia" w:ascii="仿宋_GB2312" w:hAnsi="仿宋_GB2312" w:eastAsia="仿宋_GB2312" w:cs="仿宋_GB2312"/>
          <w:b w:val="0"/>
          <w:color w:val="000000"/>
          <w:sz w:val="32"/>
          <w:szCs w:val="32"/>
        </w:rPr>
        <w:t xml:space="preserve"> 指用于重大疾病预防控制等重大公共卫生服务项目的支出。</w:t>
      </w:r>
    </w:p>
    <w:p>
      <w:pPr>
        <w:overflowPunct w:val="0"/>
        <w:spacing w:line="580" w:lineRule="exact"/>
        <w:ind w:firstLine="640" w:firstLineChars="200"/>
        <w:rPr>
          <w:rStyle w:val="14"/>
          <w:rFonts w:ascii="仿宋_GB2312" w:hAnsi="仿宋_GB2312" w:eastAsia="仿宋_GB2312" w:cs="仿宋_GB2312"/>
          <w:b w:val="0"/>
          <w:color w:val="000000"/>
          <w:sz w:val="32"/>
          <w:szCs w:val="32"/>
        </w:rPr>
      </w:pPr>
      <w:r>
        <w:rPr>
          <w:rStyle w:val="14"/>
          <w:rFonts w:hint="eastAsia" w:ascii="仿宋_GB2312" w:hAnsi="仿宋_GB2312" w:eastAsia="仿宋_GB2312" w:cs="仿宋_GB2312"/>
          <w:b w:val="0"/>
          <w:color w:val="000000"/>
          <w:sz w:val="32"/>
          <w:szCs w:val="32"/>
        </w:rPr>
        <w:t>21.卫生健康支出（类）公共卫生（款）突发公共卫生事件应急处理（项）:指用于突发公共卫生事件应急处理的支出。</w:t>
      </w:r>
    </w:p>
    <w:p>
      <w:pPr>
        <w:overflowPunct w:val="0"/>
        <w:spacing w:line="580" w:lineRule="exact"/>
        <w:ind w:firstLine="640" w:firstLineChars="200"/>
        <w:rPr>
          <w:rStyle w:val="14"/>
          <w:rFonts w:ascii="仿宋_GB2312" w:hAnsi="仿宋_GB2312" w:eastAsia="仿宋_GB2312" w:cs="仿宋_GB2312"/>
          <w:b w:val="0"/>
          <w:color w:val="000000"/>
          <w:sz w:val="32"/>
          <w:szCs w:val="32"/>
        </w:rPr>
      </w:pPr>
      <w:r>
        <w:rPr>
          <w:rStyle w:val="14"/>
          <w:rFonts w:hint="eastAsia" w:ascii="仿宋_GB2312" w:hAnsi="仿宋_GB2312" w:eastAsia="仿宋_GB2312" w:cs="仿宋_GB2312"/>
          <w:b w:val="0"/>
          <w:color w:val="000000"/>
          <w:sz w:val="32"/>
          <w:szCs w:val="32"/>
        </w:rPr>
        <w:t>22.卫生健康支出（类）公共卫生（款）其他公共卫生专项支出（项）:指用于其他公共卫生专项方面的支出。</w:t>
      </w:r>
    </w:p>
    <w:p>
      <w:pPr>
        <w:overflowPunct w:val="0"/>
        <w:spacing w:line="580" w:lineRule="exact"/>
        <w:ind w:firstLine="640"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 w:val="0"/>
          <w:bCs/>
          <w:color w:val="000000"/>
          <w:sz w:val="32"/>
          <w:szCs w:val="32"/>
        </w:rPr>
        <w:t>23.卫生健康支出（类）其他卫生健康支出（款）其他卫生健康支出（项）:</w:t>
      </w:r>
      <w:r>
        <w:rPr>
          <w:rStyle w:val="14"/>
          <w:rFonts w:hint="eastAsia" w:ascii="仿宋_GB2312" w:hAnsi="仿宋_GB2312" w:eastAsia="仿宋_GB2312" w:cs="仿宋_GB2312"/>
          <w:b w:val="0"/>
          <w:color w:val="000000"/>
          <w:sz w:val="32"/>
          <w:szCs w:val="32"/>
        </w:rPr>
        <w:t xml:space="preserve"> 指其他用于医疗卫生与计划生育方面的支出，这里包含取消药品加成的补助支出。</w:t>
      </w:r>
    </w:p>
    <w:p>
      <w:pPr>
        <w:overflowPunct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24.基本支出：指为保障机构正常运转、完成日常工作任务而发生的人员支出和公用支出。</w:t>
      </w:r>
    </w:p>
    <w:p>
      <w:pPr>
        <w:overflowPunct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25.项目支出：指在基本支出之外为完成特定行政任务和事业发展目标所发生的支出。 </w:t>
      </w:r>
    </w:p>
    <w:p>
      <w:pPr>
        <w:overflowPunct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26.经营支出：指事业单位在专业业务活动及其辅助活动之外开展非独立核算经营活动发生的支出。</w:t>
      </w:r>
    </w:p>
    <w:p>
      <w:pPr>
        <w:pStyle w:val="22"/>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600" w:lineRule="exact"/>
        <w:jc w:val="center"/>
        <w:outlineLvl w:val="0"/>
        <w:rPr>
          <w:rFonts w:ascii="黑体" w:hAnsi="黑体" w:eastAsia="黑体"/>
          <w:color w:val="000000"/>
          <w:sz w:val="44"/>
          <w:szCs w:val="44"/>
        </w:rPr>
      </w:pPr>
      <w:bookmarkStart w:id="50" w:name="_Toc15396614"/>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both"/>
        <w:outlineLvl w:val="0"/>
        <w:rPr>
          <w:rFonts w:ascii="黑体" w:hAnsi="黑体" w:eastAsia="黑体"/>
          <w:color w:val="000000"/>
          <w:sz w:val="44"/>
          <w:szCs w:val="44"/>
        </w:rPr>
      </w:pPr>
    </w:p>
    <w:p>
      <w:pPr>
        <w:spacing w:line="600" w:lineRule="exact"/>
        <w:jc w:val="center"/>
        <w:outlineLvl w:val="0"/>
        <w:rPr>
          <w:rStyle w:val="24"/>
          <w:rFonts w:ascii="黑体" w:hAnsi="黑体" w:eastAsia="黑体"/>
        </w:rPr>
      </w:pPr>
      <w:r>
        <w:rPr>
          <w:rFonts w:hint="eastAsia" w:ascii="黑体" w:hAnsi="黑体" w:eastAsia="黑体"/>
          <w:color w:val="000000"/>
          <w:sz w:val="44"/>
          <w:szCs w:val="44"/>
        </w:rPr>
        <w:t>第</w:t>
      </w:r>
      <w:r>
        <w:rPr>
          <w:rStyle w:val="24"/>
          <w:rFonts w:hint="eastAsia" w:ascii="黑体" w:hAnsi="黑体" w:eastAsia="黑体"/>
        </w:rPr>
        <w:t>四部分 附件</w:t>
      </w:r>
      <w:bookmarkEnd w:id="50"/>
    </w:p>
    <w:p>
      <w:pPr>
        <w:spacing w:line="600" w:lineRule="exact"/>
        <w:outlineLvl w:val="0"/>
        <w:rPr>
          <w:rStyle w:val="24"/>
          <w:rFonts w:ascii="黑体" w:hAnsi="黑体" w:eastAsia="黑体"/>
          <w:b w:val="0"/>
          <w:bCs w:val="0"/>
          <w:sz w:val="32"/>
          <w:szCs w:val="32"/>
        </w:rPr>
      </w:pPr>
      <w:r>
        <w:rPr>
          <w:rStyle w:val="24"/>
          <w:rFonts w:hint="eastAsia" w:ascii="黑体" w:hAnsi="黑体" w:eastAsia="黑体"/>
          <w:b w:val="0"/>
          <w:bCs w:val="0"/>
          <w:sz w:val="32"/>
          <w:szCs w:val="32"/>
        </w:rPr>
        <w:t>附件1</w:t>
      </w:r>
    </w:p>
    <w:p>
      <w:pPr>
        <w:spacing w:line="600" w:lineRule="exact"/>
        <w:jc w:val="center"/>
        <w:outlineLvl w:val="0"/>
        <w:rPr>
          <w:rStyle w:val="24"/>
        </w:rPr>
      </w:pPr>
    </w:p>
    <w:p>
      <w:pPr>
        <w:spacing w:line="600" w:lineRule="exact"/>
        <w:jc w:val="center"/>
        <w:outlineLvl w:val="0"/>
        <w:rPr>
          <w:rFonts w:ascii="黑体" w:hAnsi="黑体" w:eastAsia="黑体" w:cs="方正小标宋简体"/>
          <w:sz w:val="44"/>
          <w:szCs w:val="44"/>
        </w:rPr>
      </w:pPr>
      <w:bookmarkStart w:id="51" w:name="_Toc15396616"/>
      <w:r>
        <w:rPr>
          <w:rFonts w:hint="eastAsia" w:ascii="黑体" w:hAnsi="黑体" w:eastAsia="黑体" w:cs="方正小标宋简体"/>
          <w:sz w:val="44"/>
          <w:szCs w:val="44"/>
        </w:rPr>
        <w:t>广安市人民医院</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44"/>
          <w:szCs w:val="44"/>
        </w:rPr>
        <w:t>2021年部门整体支出绩效评价报告</w:t>
      </w:r>
      <w:bookmarkEnd w:id="51"/>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一、广安市人民医院概况</w:t>
      </w:r>
    </w:p>
    <w:p>
      <w:pPr>
        <w:spacing w:line="580" w:lineRule="exact"/>
        <w:ind w:firstLine="640" w:firstLineChars="200"/>
        <w:rPr>
          <w:rFonts w:ascii="仿宋" w:hAnsi="仿宋" w:eastAsia="仿宋" w:cs="仿宋"/>
          <w:sz w:val="32"/>
          <w:szCs w:val="32"/>
        </w:rPr>
      </w:pPr>
      <w:r>
        <w:rPr>
          <w:rFonts w:ascii="仿宋" w:hAnsi="仿宋" w:eastAsia="仿宋" w:cs="仿宋_GB2312"/>
          <w:sz w:val="32"/>
          <w:szCs w:val="32"/>
        </w:rPr>
        <w:t>（一）机构组成。</w:t>
      </w:r>
      <w:r>
        <w:rPr>
          <w:rFonts w:hint="eastAsia" w:ascii="仿宋" w:hAnsi="仿宋" w:eastAsia="仿宋" w:cs="仿宋"/>
          <w:sz w:val="32"/>
          <w:szCs w:val="32"/>
        </w:rPr>
        <w:t>广安市人民医院是广安市卫生健康委直属的公益二类事业单位，是广安市财政局定额补助的一级预算单位，是独立编制、独立核算的预算单位，无下属单位。</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内设体检中心、妇科、产科、儿科、骨科等40个临床医技科室；</w:t>
      </w:r>
      <w:r>
        <w:rPr>
          <w:rFonts w:hint="eastAsia" w:ascii="方正仿宋_GBK" w:eastAsia="方正仿宋_GBK"/>
          <w:sz w:val="32"/>
          <w:szCs w:val="32"/>
        </w:rPr>
        <w:t>内设党群工作部、组织人事部、财务部等16个行政后勤管理部门</w:t>
      </w:r>
      <w:r>
        <w:rPr>
          <w:rFonts w:hint="eastAsia" w:ascii="仿宋" w:hAnsi="仿宋" w:eastAsia="仿宋"/>
          <w:sz w:val="32"/>
          <w:szCs w:val="32"/>
        </w:rPr>
        <w:t>。</w:t>
      </w:r>
    </w:p>
    <w:p>
      <w:pPr>
        <w:ind w:firstLine="800" w:firstLineChars="250"/>
        <w:rPr>
          <w:rFonts w:ascii="仿宋_GB2312" w:eastAsia="仿宋_GB2312"/>
          <w:sz w:val="32"/>
          <w:szCs w:val="32"/>
        </w:rPr>
      </w:pPr>
      <w:r>
        <w:rPr>
          <w:rFonts w:ascii="仿宋" w:hAnsi="仿宋" w:eastAsia="仿宋" w:cs="仿宋_GB2312"/>
          <w:sz w:val="32"/>
          <w:szCs w:val="32"/>
        </w:rPr>
        <w:t>（二）机构职能。</w:t>
      </w:r>
      <w:r>
        <w:rPr>
          <w:rFonts w:hint="eastAsia" w:ascii="仿宋" w:hAnsi="仿宋" w:eastAsia="仿宋" w:cs="仿宋_GB2312"/>
          <w:sz w:val="32"/>
          <w:szCs w:val="32"/>
        </w:rPr>
        <w:t>广安市人民医院</w:t>
      </w:r>
      <w:r>
        <w:rPr>
          <w:rFonts w:hint="eastAsia" w:ascii="仿宋_GB2312" w:eastAsia="仿宋_GB2312"/>
          <w:sz w:val="32"/>
          <w:szCs w:val="32"/>
        </w:rPr>
        <w:t>是集医疗、教学、科研、预防保健、卫生应急、指导基层为一体的国家级三级甲等综合性医院；是国家级住院医师规范化培训基地；是广安市医疗急救和技术指导中心。</w:t>
      </w:r>
    </w:p>
    <w:p>
      <w:pPr>
        <w:spacing w:line="580" w:lineRule="exact"/>
        <w:ind w:firstLine="640" w:firstLineChars="200"/>
        <w:rPr>
          <w:rFonts w:ascii="仿宋" w:hAnsi="仿宋" w:eastAsia="仿宋_GB2312" w:cs="仿宋_GB2312"/>
          <w:sz w:val="32"/>
          <w:szCs w:val="32"/>
        </w:rPr>
      </w:pPr>
      <w:r>
        <w:rPr>
          <w:rFonts w:ascii="仿宋" w:hAnsi="仿宋" w:eastAsia="仿宋" w:cs="仿宋_GB2312"/>
          <w:sz w:val="32"/>
          <w:szCs w:val="32"/>
        </w:rPr>
        <w:t>（三）人员概况。</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21年末实有编制人数597，另外，离休1人，退休273人。无编制在职职工1291人。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r>
        <w:rPr>
          <w:rFonts w:ascii="仿宋" w:hAnsi="仿宋" w:eastAsia="仿宋" w:cs="仿宋"/>
          <w:sz w:val="32"/>
          <w:szCs w:val="32"/>
        </w:rPr>
        <w:t>20</w:t>
      </w:r>
      <w:r>
        <w:rPr>
          <w:rFonts w:hint="eastAsia" w:ascii="仿宋" w:hAnsi="仿宋" w:eastAsia="仿宋" w:cs="仿宋"/>
          <w:sz w:val="32"/>
          <w:szCs w:val="32"/>
        </w:rPr>
        <w:t>21年</w:t>
      </w:r>
      <w:r>
        <w:rPr>
          <w:rFonts w:hint="eastAsia" w:ascii="仿宋" w:hAnsi="仿宋" w:eastAsia="仿宋" w:cs="仿宋"/>
          <w:color w:val="000000"/>
          <w:sz w:val="32"/>
          <w:szCs w:val="32"/>
        </w:rPr>
        <w:t>财政拨款收入</w:t>
      </w:r>
      <w:r>
        <w:rPr>
          <w:rFonts w:hint="eastAsia" w:ascii="仿宋" w:hAnsi="仿宋" w:eastAsia="仿宋"/>
          <w:color w:val="000000"/>
          <w:sz w:val="32"/>
          <w:szCs w:val="32"/>
        </w:rPr>
        <w:t>3501.59</w:t>
      </w:r>
      <w:r>
        <w:rPr>
          <w:rFonts w:hint="eastAsia" w:ascii="仿宋" w:hAnsi="仿宋" w:eastAsia="仿宋" w:cs="仿宋"/>
          <w:color w:val="000000"/>
          <w:sz w:val="32"/>
          <w:szCs w:val="32"/>
        </w:rPr>
        <w:t>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r>
        <w:rPr>
          <w:rFonts w:ascii="仿宋" w:hAnsi="仿宋" w:eastAsia="仿宋" w:cs="仿宋"/>
          <w:sz w:val="32"/>
          <w:szCs w:val="32"/>
        </w:rPr>
        <w:t>20</w:t>
      </w:r>
      <w:r>
        <w:rPr>
          <w:rFonts w:hint="eastAsia" w:ascii="仿宋" w:hAnsi="仿宋" w:eastAsia="仿宋" w:cs="仿宋"/>
          <w:sz w:val="32"/>
          <w:szCs w:val="32"/>
        </w:rPr>
        <w:t>21年</w:t>
      </w:r>
      <w:r>
        <w:rPr>
          <w:rFonts w:hint="eastAsia" w:ascii="仿宋" w:hAnsi="仿宋" w:eastAsia="仿宋" w:cs="仿宋"/>
          <w:color w:val="000000"/>
          <w:sz w:val="32"/>
          <w:szCs w:val="32"/>
        </w:rPr>
        <w:t>财政拨款支出</w:t>
      </w:r>
      <w:r>
        <w:rPr>
          <w:rFonts w:hint="eastAsia" w:ascii="仿宋" w:hAnsi="仿宋" w:eastAsia="仿宋"/>
          <w:color w:val="000000"/>
          <w:sz w:val="32"/>
          <w:szCs w:val="32"/>
        </w:rPr>
        <w:t>3359.52</w:t>
      </w:r>
      <w:r>
        <w:rPr>
          <w:rFonts w:hint="eastAsia" w:ascii="仿宋" w:hAnsi="仿宋" w:eastAsia="仿宋" w:cs="仿宋"/>
          <w:color w:val="000000"/>
          <w:sz w:val="32"/>
          <w:szCs w:val="32"/>
        </w:rPr>
        <w:t>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绩效目标。根据预算绩效管理要求，本单位在年初预算编制阶段，按收入来源，即财政拨款收入和事业收入进行了预算编制；按支出性质和经济分类两方面进行了绩效目标编制，即基本支出（人员经费和日常公用经费）和项目支出（基本建设项目和行政事业类项目）。</w:t>
      </w:r>
    </w:p>
    <w:p>
      <w:pPr>
        <w:spacing w:line="58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预算完成情况。</w:t>
      </w:r>
      <w:r>
        <w:rPr>
          <w:rFonts w:hint="eastAsia" w:ascii="仿宋" w:hAnsi="仿宋" w:eastAsia="仿宋"/>
          <w:sz w:val="32"/>
          <w:szCs w:val="32"/>
        </w:rPr>
        <w:t>2021年收入总预算126621.18万元，实际总收入</w:t>
      </w:r>
      <w:r>
        <w:rPr>
          <w:rFonts w:hint="eastAsia" w:ascii="仿宋" w:hAnsi="仿宋" w:eastAsia="仿宋"/>
          <w:color w:val="000000"/>
          <w:sz w:val="32"/>
          <w:szCs w:val="32"/>
        </w:rPr>
        <w:t>111615.64万元，完成收入预算88.15%；支出总预算</w:t>
      </w:r>
      <w:r>
        <w:rPr>
          <w:rFonts w:hint="eastAsia" w:ascii="仿宋" w:hAnsi="仿宋" w:eastAsia="仿宋"/>
          <w:sz w:val="32"/>
          <w:szCs w:val="32"/>
        </w:rPr>
        <w:t>126621.18</w:t>
      </w:r>
      <w:r>
        <w:rPr>
          <w:rFonts w:hint="eastAsia" w:ascii="仿宋" w:hAnsi="仿宋" w:eastAsia="仿宋"/>
          <w:color w:val="000000"/>
          <w:sz w:val="32"/>
          <w:szCs w:val="32"/>
        </w:rPr>
        <w:t>万元，实际总支出112429.95万元，完成支出预算88.80%。</w:t>
      </w:r>
    </w:p>
    <w:p>
      <w:pPr>
        <w:spacing w:line="580" w:lineRule="exact"/>
        <w:ind w:firstLine="640" w:firstLineChars="200"/>
        <w:rPr>
          <w:rFonts w:ascii="仿宋" w:hAnsi="仿宋" w:eastAsia="仿宋" w:cs="仿宋_GB2312"/>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违规记录。我单位</w:t>
      </w:r>
      <w:r>
        <w:rPr>
          <w:rFonts w:ascii="仿宋" w:hAnsi="仿宋" w:eastAsia="仿宋" w:cs="仿宋"/>
          <w:sz w:val="32"/>
          <w:szCs w:val="32"/>
        </w:rPr>
        <w:t>20</w:t>
      </w:r>
      <w:r>
        <w:rPr>
          <w:rFonts w:hint="eastAsia" w:ascii="仿宋" w:hAnsi="仿宋" w:eastAsia="仿宋" w:cs="仿宋"/>
          <w:sz w:val="32"/>
          <w:szCs w:val="32"/>
        </w:rPr>
        <w:t>21年无违规记录情况。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w:t>
      </w:r>
      <w:r>
        <w:rPr>
          <w:rFonts w:hint="eastAsia" w:ascii="仿宋" w:hAnsi="仿宋" w:eastAsia="仿宋" w:cs="仿宋_GB2312"/>
          <w:sz w:val="32"/>
          <w:szCs w:val="32"/>
        </w:rPr>
        <w:t>二</w:t>
      </w:r>
      <w:r>
        <w:rPr>
          <w:rFonts w:ascii="仿宋" w:hAnsi="仿宋" w:eastAsia="仿宋" w:cs="仿宋_GB2312"/>
          <w:sz w:val="32"/>
          <w:szCs w:val="32"/>
        </w:rPr>
        <w:t>）结果应用情况。</w:t>
      </w:r>
    </w:p>
    <w:p>
      <w:pPr>
        <w:spacing w:line="58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部门整体支出绩效自评质量。</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按照预算绩效管理要求，本部门对</w:t>
      </w:r>
      <w:r>
        <w:rPr>
          <w:rFonts w:ascii="仿宋" w:hAnsi="仿宋" w:eastAsia="仿宋" w:cs="仿宋"/>
          <w:sz w:val="32"/>
          <w:szCs w:val="32"/>
        </w:rPr>
        <w:t>20</w:t>
      </w:r>
      <w:r>
        <w:rPr>
          <w:rFonts w:hint="eastAsia" w:ascii="仿宋" w:hAnsi="仿宋" w:eastAsia="仿宋" w:cs="仿宋"/>
          <w:sz w:val="32"/>
          <w:szCs w:val="32"/>
        </w:rPr>
        <w:t>21年整体支出开展绩效自评，自评良好。</w:t>
      </w:r>
    </w:p>
    <w:p>
      <w:pPr>
        <w:spacing w:line="580" w:lineRule="exact"/>
        <w:ind w:left="6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绩效目标公开。</w:t>
      </w:r>
    </w:p>
    <w:p>
      <w:pPr>
        <w:spacing w:line="580" w:lineRule="exact"/>
        <w:ind w:firstLine="640" w:firstLineChars="200"/>
        <w:rPr>
          <w:rFonts w:ascii="仿宋" w:hAnsi="仿宋" w:eastAsia="仿宋"/>
          <w:sz w:val="32"/>
          <w:szCs w:val="32"/>
        </w:rPr>
      </w:pPr>
      <w:r>
        <w:rPr>
          <w:rFonts w:ascii="仿宋" w:hAnsi="仿宋" w:eastAsia="仿宋" w:cs="仿宋"/>
          <w:sz w:val="32"/>
          <w:szCs w:val="32"/>
        </w:rPr>
        <w:t>20</w:t>
      </w:r>
      <w:r>
        <w:rPr>
          <w:rFonts w:hint="eastAsia" w:ascii="仿宋" w:hAnsi="仿宋" w:eastAsia="仿宋" w:cs="仿宋"/>
          <w:sz w:val="32"/>
          <w:szCs w:val="32"/>
        </w:rPr>
        <w:t>21年我单位在市政府网站上进行了部门预算以及绩效目标公开。</w:t>
      </w:r>
    </w:p>
    <w:p>
      <w:pPr>
        <w:spacing w:line="580" w:lineRule="exact"/>
        <w:ind w:left="6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评价结果整改和应用结果反馈。</w:t>
      </w:r>
    </w:p>
    <w:p>
      <w:pPr>
        <w:spacing w:line="580" w:lineRule="exact"/>
        <w:ind w:firstLine="640" w:firstLineChars="200"/>
        <w:rPr>
          <w:rFonts w:ascii="仿宋" w:hAnsi="仿宋" w:eastAsia="仿宋" w:cs="仿宋_GB2312"/>
          <w:sz w:val="32"/>
          <w:szCs w:val="32"/>
        </w:rPr>
      </w:pPr>
      <w:r>
        <w:rPr>
          <w:rFonts w:hint="eastAsia" w:ascii="仿宋" w:hAnsi="仿宋" w:eastAsia="仿宋" w:cs="仿宋"/>
          <w:sz w:val="32"/>
          <w:szCs w:val="32"/>
        </w:rPr>
        <w:t>通过加强预算收支管理，不断建立健全内部管理制度，梳理内部管理流程，部门整体支出管理情况得到提升。</w:t>
      </w:r>
    </w:p>
    <w:p>
      <w:pPr>
        <w:spacing w:line="580" w:lineRule="exact"/>
        <w:rPr>
          <w:rFonts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定额补助</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2021年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广安市人民医院是定额补助项目的管理和实施单位，负责申报和审核、监督使用、绩效分析评价；广安市财政局负责资金的拨付和监督使用；广安市人民医院财务科负责对专项资金的财务管理和会计核算，同时对资金使用进行监督、指导。</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r>
        <w:rPr>
          <w:rFonts w:hint="eastAsia" w:ascii="仿宋_GB2312" w:hAnsi="仿宋_GB2312" w:eastAsia="仿宋_GB2312" w:cs="仿宋_GB2312"/>
          <w:sz w:val="32"/>
          <w:szCs w:val="32"/>
        </w:rPr>
        <w:t>广安市人民医院是广安市卫生健康委直属的公益二类事业单位，是广安市财政局定额补助的一级预算单位</w:t>
      </w:r>
      <w:r>
        <w:rPr>
          <w:rFonts w:hint="eastAsia" w:ascii="仿宋_GB2312" w:hAnsi="仿宋_GB2312" w:eastAsia="仿宋_GB2312" w:cs="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3．资金管理办法制定情况：广安市人民医院制定了项目资金使用管理规定以及流程，对资金使用进行了明确要求，必须做到专款专用。</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4．资金分配的原则及考虑因素：广安市人民医院定额补助项目，一是主要用于医院人员经费的支出，包含在编在职职工基本工资的支出；二是用于医院对个人和家庭的补助支出，主要为离休干部工资的支出。</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年广安市人民医院定额补助项目是对医疗业务活动经费的补助。</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w:t>
      </w:r>
      <w:r>
        <w:rPr>
          <w:rFonts w:hint="eastAsia" w:ascii="仿宋_GB2312" w:hAnsi="仿宋_GB2312" w:eastAsia="仿宋_GB2312" w:cs="仿宋_GB2312"/>
          <w:sz w:val="32"/>
          <w:szCs w:val="32"/>
          <w:lang w:val="zh-CN"/>
        </w:rPr>
        <w:t>：为了完成社会医疗服务任务，提高医疗服务质量，计划实现医疗业务收入稳定增长，202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全年计划完成绩效目标：门急诊量</w:t>
      </w:r>
      <w:r>
        <w:rPr>
          <w:rFonts w:hint="eastAsia" w:ascii="仿宋_GB2312" w:hAnsi="仿宋_GB2312" w:eastAsia="仿宋_GB2312" w:cs="仿宋_GB2312"/>
          <w:sz w:val="32"/>
          <w:szCs w:val="32"/>
        </w:rPr>
        <w:t>87</w:t>
      </w:r>
      <w:r>
        <w:rPr>
          <w:rFonts w:hint="eastAsia" w:ascii="仿宋_GB2312" w:hAnsi="仿宋_GB2312" w:eastAsia="仿宋_GB2312" w:cs="仿宋_GB2312"/>
          <w:sz w:val="32"/>
          <w:szCs w:val="32"/>
          <w:lang w:val="zh-CN"/>
        </w:rPr>
        <w:t>万人次，出院病人8万人次。</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宋体" w:eastAsia="仿宋_GB2312"/>
          <w:sz w:val="32"/>
          <w:szCs w:val="32"/>
          <w:lang w:val="zh-CN"/>
        </w:rPr>
        <w:t>3．项目资金申报相符性</w:t>
      </w: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年广安市人民医院定额补助项目申报内容是与具体实施内容相符，申报目标合理可行，但是由于新冠疫情突发的影响，导致202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年医疗业务量略有下降，未能较好完成申报目标。</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项目采取自评的方式，成立项目自评小组，结合评价内容，做到有计划，有安排扎实开展本次自评工作。按照广安市财政局下达的项目支出绩效评价指标体系，自评小组针对项目内容、实施情况、财务管理、社会效益作出自我评价、认真做好自评工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广安市人民医院202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年定额补助项目资金申报预算为300万元，广安市财政局预算批复金额为300万元，未进行预算调整，符合资金管理办法等相关规定。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1．资金计划及到位。202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年广安市人民医院定额补助项目资金由广安市财政局直接下达，资金到位及时，实际补助金额为</w:t>
      </w:r>
      <w:r>
        <w:rPr>
          <w:rFonts w:hint="eastAsia" w:ascii="仿宋_GB2312" w:hAnsi="仿宋_GB2312" w:eastAsia="仿宋_GB2312" w:cs="仿宋_GB2312"/>
          <w:sz w:val="32"/>
          <w:szCs w:val="32"/>
        </w:rPr>
        <w:t>300</w:t>
      </w:r>
      <w:r>
        <w:rPr>
          <w:rFonts w:hint="eastAsia" w:ascii="仿宋_GB2312" w:hAnsi="仿宋_GB2312" w:eastAsia="仿宋_GB2312" w:cs="仿宋_GB2312"/>
          <w:sz w:val="32"/>
          <w:szCs w:val="32"/>
          <w:lang w:val="zh-CN"/>
        </w:rPr>
        <w:t>万元，资金到位率</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val="zh-CN"/>
        </w:rPr>
        <w:t>%。</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2．资金使用。截止评价时点项目资金的实际支出</w:t>
      </w:r>
      <w:r>
        <w:rPr>
          <w:rFonts w:hint="eastAsia" w:ascii="仿宋_GB2312" w:hAnsi="仿宋_GB2312" w:eastAsia="仿宋_GB2312" w:cs="仿宋_GB2312"/>
          <w:sz w:val="32"/>
          <w:szCs w:val="32"/>
        </w:rPr>
        <w:t>300</w:t>
      </w:r>
      <w:r>
        <w:rPr>
          <w:rFonts w:hint="eastAsia" w:ascii="仿宋_GB2312" w:hAnsi="仿宋_GB2312" w:eastAsia="仿宋_GB2312" w:cs="仿宋_GB2312"/>
          <w:sz w:val="32"/>
          <w:szCs w:val="32"/>
          <w:lang w:val="zh-CN"/>
        </w:rPr>
        <w:t>万元，主要用于医院人员经费的开支，均按照人事工资制度标准发放，每月按时支付，依据是合规合法。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lang w:val="zh-CN"/>
        </w:rPr>
      </w:pPr>
      <w:r>
        <w:rPr>
          <w:rFonts w:hint="eastAsia" w:ascii="仿宋_GB2312" w:hAnsi="仿宋_GB2312" w:eastAsia="仿宋_GB2312" w:cs="仿宋_GB2312"/>
          <w:sz w:val="32"/>
          <w:szCs w:val="32"/>
          <w:lang w:val="zh-CN"/>
        </w:rPr>
        <w:t>项目财务管理制度健全，会计核算及账务处理均按照政府会计制度和预算会计制度的要求进行。按照单位和上级项目资金管理办法，项目严格执行财务管理制度，对资金进行计划申请和使用，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1.项目组织管理架构：由医院领导成立领导管理小组，下面成立项目业务组（财务小组、医务小组、总务小组、信息等其他后勤小组等）、项目技术小组（临床小组、医技小组、护理小组、药品小组等）。</w:t>
      </w:r>
    </w:p>
    <w:p>
      <w:pPr>
        <w:adjustRightInd w:val="0"/>
        <w:snapToGrid w:val="0"/>
        <w:spacing w:line="60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sz w:val="32"/>
          <w:szCs w:val="32"/>
          <w:lang w:val="zh-CN"/>
        </w:rPr>
        <w:t>2.具体实施流程：在领导小组的统一管理下，由医疗业务科室对病人开展医疗服务业务，行政管理科室为临床各科室提供后勤保障服务，今年医院为提高医疗工作质量做了不少工作，引进了高层次人才；加强对医务人员的培训；加强对医护人员的职业道德教育；加强文明礼仪学习，建立考核制度等等。</w:t>
      </w:r>
    </w:p>
    <w:p>
      <w:pPr>
        <w:adjustRightInd w:val="0"/>
        <w:snapToGrid w:val="0"/>
        <w:spacing w:line="600" w:lineRule="exact"/>
        <w:ind w:firstLine="720"/>
        <w:rPr>
          <w:rFonts w:ascii="仿宋_GB2312" w:hAnsi="宋体" w:eastAsia="仿宋_GB2312"/>
          <w:sz w:val="32"/>
          <w:szCs w:val="32"/>
          <w:highlight w:val="yellow"/>
          <w:lang w:val="zh-CN"/>
        </w:rPr>
      </w:pPr>
      <w:r>
        <w:rPr>
          <w:rFonts w:hint="eastAsia" w:ascii="楷体_GB2312" w:hAnsi="宋体" w:eastAsia="楷体_GB2312"/>
          <w:b/>
          <w:sz w:val="32"/>
          <w:szCs w:val="32"/>
          <w:lang w:val="zh-CN"/>
        </w:rPr>
        <w:t>（二）项目管理情况。</w:t>
      </w:r>
      <w:r>
        <w:rPr>
          <w:rFonts w:hint="eastAsia" w:ascii="方正仿宋_GBK" w:hAnsi="宋体" w:eastAsia="方正仿宋_GBK"/>
          <w:bCs/>
          <w:sz w:val="32"/>
          <w:szCs w:val="32"/>
          <w:lang w:val="zh-CN"/>
        </w:rPr>
        <w:t>本项目采取项目负责人负责制，由院财务科、人事科组成项目工作管理小组，其他行政科室和全院临床科室积极配合支持，确保项目正常实施。</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项目在院纪委、督查办、审计科、财务科的全程监督下监督下实施，对项目进展、项目实施推进、项目目标完成情况进行监督管理，在项目推进中，单位人事科积极联系人社局等单位研究落实各项政策，保证实施的准确性和真实性。</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1.数量指标</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计划全年完成门急诊量</w:t>
      </w:r>
      <w:r>
        <w:rPr>
          <w:rFonts w:hint="eastAsia" w:ascii="仿宋_GB2312" w:hAnsi="仿宋_GB2312" w:eastAsia="仿宋_GB2312" w:cs="仿宋_GB2312"/>
          <w:sz w:val="32"/>
          <w:szCs w:val="32"/>
        </w:rPr>
        <w:t>87</w:t>
      </w:r>
      <w:r>
        <w:rPr>
          <w:rFonts w:hint="eastAsia" w:ascii="仿宋_GB2312" w:hAnsi="仿宋_GB2312" w:eastAsia="仿宋_GB2312" w:cs="仿宋_GB2312"/>
          <w:sz w:val="32"/>
          <w:szCs w:val="32"/>
          <w:lang w:val="zh-CN"/>
        </w:rPr>
        <w:t>万人次，实际完成</w:t>
      </w:r>
      <w:r>
        <w:rPr>
          <w:rFonts w:hint="eastAsia" w:ascii="仿宋_GB2312" w:hAnsi="仿宋_GB2312" w:eastAsia="仿宋_GB2312" w:cs="仿宋_GB2312"/>
          <w:sz w:val="32"/>
          <w:szCs w:val="32"/>
        </w:rPr>
        <w:t>109</w:t>
      </w:r>
      <w:r>
        <w:rPr>
          <w:rFonts w:hint="eastAsia" w:ascii="仿宋_GB2312" w:hAnsi="仿宋_GB2312" w:eastAsia="仿宋_GB2312" w:cs="仿宋_GB2312"/>
          <w:sz w:val="32"/>
          <w:szCs w:val="32"/>
          <w:lang w:val="zh-CN"/>
        </w:rPr>
        <w:t>万人次，完成率为</w:t>
      </w:r>
      <w:r>
        <w:rPr>
          <w:rFonts w:hint="eastAsia" w:ascii="仿宋_GB2312" w:hAnsi="仿宋_GB2312" w:eastAsia="仿宋_GB2312" w:cs="仿宋_GB2312"/>
          <w:sz w:val="32"/>
          <w:szCs w:val="32"/>
        </w:rPr>
        <w:t>125</w:t>
      </w:r>
      <w:r>
        <w:rPr>
          <w:rFonts w:hint="eastAsia" w:ascii="仿宋_GB2312" w:hAnsi="仿宋_GB2312" w:eastAsia="仿宋_GB2312" w:cs="仿宋_GB2312"/>
          <w:sz w:val="32"/>
          <w:szCs w:val="32"/>
          <w:lang w:val="zh-CN"/>
        </w:rPr>
        <w:t>%；计划全年完成出院病人8万人次，实际完成</w:t>
      </w:r>
      <w:r>
        <w:rPr>
          <w:rFonts w:hint="eastAsia" w:ascii="仿宋_GB2312" w:hAnsi="仿宋_GB2312" w:eastAsia="仿宋_GB2312" w:cs="仿宋_GB2312"/>
          <w:sz w:val="32"/>
          <w:szCs w:val="32"/>
        </w:rPr>
        <w:t>7.03</w:t>
      </w:r>
      <w:r>
        <w:rPr>
          <w:rFonts w:hint="eastAsia" w:ascii="仿宋_GB2312" w:hAnsi="仿宋_GB2312" w:eastAsia="仿宋_GB2312" w:cs="仿宋_GB2312"/>
          <w:sz w:val="32"/>
          <w:szCs w:val="32"/>
          <w:lang w:val="zh-CN"/>
        </w:rPr>
        <w:t>万人次，完成率</w:t>
      </w:r>
      <w:r>
        <w:rPr>
          <w:rFonts w:hint="eastAsia" w:ascii="仿宋_GB2312" w:hAnsi="仿宋_GB2312" w:eastAsia="仿宋_GB2312" w:cs="仿宋_GB2312"/>
          <w:sz w:val="32"/>
          <w:szCs w:val="32"/>
        </w:rPr>
        <w:t>87.88</w:t>
      </w:r>
      <w:r>
        <w:rPr>
          <w:rFonts w:hint="eastAsia" w:ascii="仿宋_GB2312" w:hAnsi="仿宋_GB2312" w:eastAsia="仿宋_GB2312" w:cs="仿宋_GB2312"/>
          <w:sz w:val="32"/>
          <w:szCs w:val="32"/>
          <w:lang w:val="zh-CN"/>
        </w:rPr>
        <w:t>%。因为新冠疫情的持续影响，虽然未完成绩效目标，但是出院病人较去年增长</w:t>
      </w:r>
      <w:r>
        <w:rPr>
          <w:rFonts w:hint="eastAsia" w:ascii="仿宋_GB2312" w:hAnsi="仿宋_GB2312" w:eastAsia="仿宋_GB2312" w:cs="仿宋_GB2312"/>
          <w:sz w:val="32"/>
          <w:szCs w:val="32"/>
        </w:rPr>
        <w:t>8.96%</w:t>
      </w:r>
      <w:r>
        <w:rPr>
          <w:rFonts w:hint="eastAsia" w:ascii="仿宋_GB2312" w:hAnsi="仿宋_GB2312" w:eastAsia="仿宋_GB2312" w:cs="仿宋_GB2312"/>
          <w:sz w:val="32"/>
          <w:szCs w:val="32"/>
          <w:lang w:val="zh-CN"/>
        </w:rPr>
        <w:t>。</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2.质量指标</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防范恶性医疗纠纷，杜绝重大医疗事故：年度指标值-没有恶性医疗纠纷，未出现重大医疗事故，完成率100%。</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3.时效指标</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完成时间：202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年12月31日，全年每天医疗业务正常开展，完成率100%。</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4.成本费用</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人员经费占总成本</w:t>
      </w:r>
      <w:r>
        <w:rPr>
          <w:rFonts w:hint="eastAsia" w:ascii="仿宋_GB2312" w:hAnsi="仿宋_GB2312" w:eastAsia="仿宋_GB2312" w:cs="仿宋_GB2312"/>
          <w:sz w:val="32"/>
          <w:szCs w:val="32"/>
        </w:rPr>
        <w:t>40</w:t>
      </w:r>
      <w:r>
        <w:rPr>
          <w:rFonts w:hint="eastAsia" w:ascii="仿宋_GB2312" w:hAnsi="仿宋_GB2312" w:eastAsia="仿宋_GB2312" w:cs="仿宋_GB2312"/>
          <w:sz w:val="32"/>
          <w:szCs w:val="32"/>
          <w:lang w:val="zh-CN"/>
        </w:rPr>
        <w:t>%以内：全年实际完成人员经费占总成本</w:t>
      </w: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val="zh-CN"/>
        </w:rPr>
        <w:t>%，完成率100%。</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药品和卫材费占总成本</w:t>
      </w:r>
      <w:r>
        <w:rPr>
          <w:rFonts w:hint="eastAsia" w:ascii="仿宋_GB2312" w:hAnsi="仿宋_GB2312" w:eastAsia="仿宋_GB2312" w:cs="仿宋_GB2312"/>
          <w:sz w:val="32"/>
          <w:szCs w:val="32"/>
        </w:rPr>
        <w:t>55</w:t>
      </w:r>
      <w:r>
        <w:rPr>
          <w:rFonts w:hint="eastAsia" w:ascii="仿宋_GB2312" w:hAnsi="仿宋_GB2312" w:eastAsia="仿宋_GB2312" w:cs="仿宋_GB2312"/>
          <w:sz w:val="32"/>
          <w:szCs w:val="32"/>
          <w:lang w:val="zh-CN"/>
        </w:rPr>
        <w:t>%以内：全年实际完成药品和卫材费占总成本</w:t>
      </w:r>
      <w:r>
        <w:rPr>
          <w:rFonts w:hint="eastAsia" w:ascii="仿宋_GB2312" w:hAnsi="仿宋_GB2312" w:eastAsia="仿宋_GB2312" w:cs="仿宋_GB2312"/>
          <w:sz w:val="32"/>
          <w:szCs w:val="32"/>
        </w:rPr>
        <w:t>53</w:t>
      </w:r>
      <w:r>
        <w:rPr>
          <w:rFonts w:hint="eastAsia" w:ascii="仿宋_GB2312" w:hAnsi="仿宋_GB2312" w:eastAsia="仿宋_GB2312" w:cs="仿宋_GB2312"/>
          <w:sz w:val="32"/>
          <w:szCs w:val="32"/>
          <w:lang w:val="zh-CN"/>
        </w:rPr>
        <w:t>%，完成率100%。。</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（二）项目效益情况。</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1.经济指标</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医疗业务收入增长8</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年全年完成医疗业务收入</w:t>
      </w:r>
      <w:r>
        <w:rPr>
          <w:rFonts w:hint="eastAsia" w:ascii="仿宋_GB2312" w:hAnsi="仿宋_GB2312" w:eastAsia="仿宋_GB2312" w:cs="仿宋_GB2312"/>
          <w:sz w:val="32"/>
          <w:szCs w:val="32"/>
        </w:rPr>
        <w:t>110235.26</w:t>
      </w:r>
      <w:r>
        <w:rPr>
          <w:rFonts w:hint="eastAsia" w:ascii="仿宋_GB2312" w:hAnsi="仿宋_GB2312" w:eastAsia="仿宋_GB2312" w:cs="仿宋_GB2312"/>
          <w:sz w:val="32"/>
          <w:szCs w:val="32"/>
          <w:lang w:val="zh-CN"/>
        </w:rPr>
        <w:t>万元，增长主要原因是，虽然</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zh-CN"/>
        </w:rPr>
        <w:t>新冠疫情依然持续，但我医院采取积极有效的疫情防控措施，使得医疗业务量逐渐回升。</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2.社会指标</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广安市首屈一指的大型综合性三级甲等医院：广安市人民医院是</w:t>
      </w:r>
      <w:r>
        <w:rPr>
          <w:rFonts w:hint="eastAsia" w:ascii="仿宋_GB2312" w:hAnsi="仿宋_GB2312" w:eastAsia="仿宋_GB2312" w:cs="仿宋_GB2312"/>
          <w:kern w:val="0"/>
          <w:sz w:val="32"/>
          <w:szCs w:val="32"/>
        </w:rPr>
        <w:t>集医疗、教学、科研、预防保健、卫生应急、指导基层为一体的国家级三级甲等综合性医院，在华西医院的管理帮助下，更好的发挥了区域中心医院的优势。</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3.生态指标</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污水处理率100%：全年实际污水处理率达100%。</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医疗废物处置率100%：全年实际医疗废物处置率达100%。</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4.可持续效益指标</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提高医疗服务水平，参与医疗卫生改革，促进医患关系和谐发展：全年引进了多名高层次人才，购买了新医疗设备，提高了医疗质量，继续取消药品耗材加成，积极参加医疗卫生改革，改善了医疗服务态度和水平，医患关系更加和谐发展。</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5.服务对象满意度</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社会对医院工作满意率90%以上：202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年门诊患者对医院工作满意度</w:t>
      </w:r>
      <w:r>
        <w:rPr>
          <w:rFonts w:hint="eastAsia" w:ascii="仿宋_GB2312" w:hAnsi="仿宋_GB2312" w:eastAsia="仿宋_GB2312" w:cs="仿宋_GB2312"/>
          <w:sz w:val="32"/>
          <w:szCs w:val="32"/>
        </w:rPr>
        <w:t>98.12</w:t>
      </w:r>
      <w:r>
        <w:rPr>
          <w:rFonts w:hint="eastAsia" w:ascii="仿宋_GB2312" w:hAnsi="仿宋_GB2312" w:eastAsia="仿宋_GB2312" w:cs="仿宋_GB2312"/>
          <w:sz w:val="32"/>
          <w:szCs w:val="32"/>
          <w:lang w:val="zh-CN"/>
        </w:rPr>
        <w:t>%，住院患者对医院工作满意度</w:t>
      </w:r>
      <w:r>
        <w:rPr>
          <w:rFonts w:hint="eastAsia" w:ascii="仿宋_GB2312" w:hAnsi="仿宋_GB2312" w:eastAsia="仿宋_GB2312" w:cs="仿宋_GB2312"/>
          <w:sz w:val="32"/>
          <w:szCs w:val="32"/>
        </w:rPr>
        <w:t>98.97</w:t>
      </w:r>
      <w:r>
        <w:rPr>
          <w:rFonts w:hint="eastAsia" w:ascii="仿宋_GB2312" w:hAnsi="仿宋_GB2312" w:eastAsia="仿宋_GB2312" w:cs="仿宋_GB2312"/>
          <w:sz w:val="32"/>
          <w:szCs w:val="32"/>
          <w:lang w:val="zh-CN"/>
        </w:rPr>
        <w:t>%，满意度完成率100%。</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开展了较多新的医疗业务，促进我院医疗业务水平的提高，激励医疗工作者的工作积极性，取得了良好的社会效益，项目效果达到预期。</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定额补助项目的金额较少：从2013年到202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年，广安市财政局对广安市人民医院每年定额补助金额300万元，随着职工人数增加及薪酬调增，人员经费增加；随着医疗业务量的增加，医疗成本也随之增加；医院又取消了药品耗材加成，但是多年补助金额并未增加。</w:t>
      </w:r>
      <w:r>
        <w:rPr>
          <w:rFonts w:hint="eastAsia" w:ascii="仿宋_GB2312" w:hAnsi="仿宋_GB2312" w:eastAsia="仿宋_GB2312" w:cs="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sz w:val="32"/>
          <w:szCs w:val="32"/>
          <w:lang w:val="zh-CN"/>
        </w:rPr>
        <w:t>增加补助金额：202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年财政给医院定额补助300万仅占医院人员经费的0.</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zh-CN"/>
        </w:rPr>
        <w:t>%，绝大部分需要医院自筹，近年来，医保局垫付款回款率低，回款不及时，</w:t>
      </w:r>
      <w:bookmarkStart w:id="65" w:name="_GoBack"/>
      <w:bookmarkEnd w:id="65"/>
      <w:r>
        <w:rPr>
          <w:rFonts w:hint="eastAsia" w:ascii="仿宋_GB2312" w:hAnsi="仿宋_GB2312" w:eastAsia="仿宋_GB2312" w:cs="仿宋_GB2312"/>
          <w:sz w:val="32"/>
          <w:szCs w:val="32"/>
          <w:lang w:val="zh-CN"/>
        </w:rPr>
        <w:t>医院资金压力大，医院本为公立医院，财政保障对公立医院的投入，才能更好的保证医院的“公益性”，医疗体系才更健全。</w:t>
      </w:r>
    </w:p>
    <w:p>
      <w:pPr>
        <w:spacing w:line="580" w:lineRule="exact"/>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Start w:id="52" w:name="_Toc15396619"/>
    </w:p>
    <w:p>
      <w:pPr>
        <w:spacing w:line="600" w:lineRule="exact"/>
        <w:jc w:val="left"/>
        <w:outlineLvl w:val="0"/>
        <w:rPr>
          <w:rStyle w:val="24"/>
          <w:rFonts w:ascii="黑体" w:hAnsi="黑体" w:eastAsia="黑体"/>
          <w:b w:val="0"/>
        </w:rPr>
      </w:pPr>
    </w:p>
    <w:p>
      <w:pPr>
        <w:spacing w:line="600" w:lineRule="exact"/>
        <w:jc w:val="left"/>
        <w:outlineLvl w:val="0"/>
        <w:rPr>
          <w:rStyle w:val="25"/>
          <w:rFonts w:ascii="仿宋" w:hAnsi="仿宋" w:eastAsia="仿宋"/>
          <w:b w:val="0"/>
          <w:bCs w:val="0"/>
        </w:rPr>
      </w:pPr>
      <w:r>
        <w:rPr>
          <w:rFonts w:hint="eastAsia" w:ascii="仿宋" w:hAnsi="仿宋" w:eastAsia="仿宋"/>
          <w:color w:val="000000"/>
          <w:sz w:val="32"/>
        </w:rPr>
        <w:t>一、</w:t>
      </w:r>
      <w:r>
        <w:rPr>
          <w:rFonts w:hint="eastAsia" w:ascii="仿宋" w:hAnsi="仿宋" w:eastAsia="仿宋"/>
          <w:color w:val="000000"/>
          <w:sz w:val="32"/>
          <w:szCs w:val="32"/>
        </w:rPr>
        <w:t>收</w:t>
      </w:r>
      <w:r>
        <w:rPr>
          <w:rStyle w:val="25"/>
          <w:rFonts w:hint="eastAsia" w:ascii="仿宋" w:hAnsi="仿宋" w:eastAsia="仿宋"/>
          <w:b w:val="0"/>
          <w:bCs w:val="0"/>
        </w:rPr>
        <w:t>入支出决算总表</w:t>
      </w:r>
      <w:bookmarkEnd w:id="52"/>
      <w:bookmarkStart w:id="53" w:name="_Toc15396620"/>
    </w:p>
    <w:p>
      <w:pPr>
        <w:spacing w:line="600" w:lineRule="exact"/>
        <w:jc w:val="left"/>
        <w:outlineLvl w:val="0"/>
        <w:rPr>
          <w:rStyle w:val="25"/>
          <w:rFonts w:ascii="仿宋" w:hAnsi="仿宋" w:eastAsia="仿宋"/>
          <w:b w:val="0"/>
          <w:bCs w:val="0"/>
        </w:rPr>
      </w:pPr>
      <w:r>
        <w:rPr>
          <w:rFonts w:hint="eastAsia" w:ascii="仿宋" w:hAnsi="仿宋" w:eastAsia="仿宋"/>
          <w:color w:val="000000"/>
          <w:sz w:val="32"/>
          <w:szCs w:val="32"/>
        </w:rPr>
        <w:t>二、收</w:t>
      </w:r>
      <w:r>
        <w:rPr>
          <w:rStyle w:val="25"/>
          <w:rFonts w:hint="eastAsia" w:ascii="仿宋" w:hAnsi="仿宋" w:eastAsia="仿宋"/>
          <w:b w:val="0"/>
          <w:bCs w:val="0"/>
        </w:rPr>
        <w:t>入决算表</w:t>
      </w:r>
      <w:bookmarkEnd w:id="53"/>
      <w:bookmarkStart w:id="54" w:name="_Toc15396621"/>
    </w:p>
    <w:p>
      <w:pPr>
        <w:spacing w:line="600" w:lineRule="exact"/>
        <w:jc w:val="left"/>
        <w:outlineLvl w:val="0"/>
        <w:rPr>
          <w:rStyle w:val="25"/>
          <w:rFonts w:ascii="仿宋" w:hAnsi="仿宋" w:eastAsia="仿宋"/>
          <w:b w:val="0"/>
          <w:bCs w:val="0"/>
        </w:rPr>
      </w:pPr>
      <w:r>
        <w:rPr>
          <w:rStyle w:val="25"/>
          <w:rFonts w:hint="eastAsia" w:ascii="仿宋" w:hAnsi="仿宋" w:eastAsia="仿宋"/>
          <w:b w:val="0"/>
          <w:bCs w:val="0"/>
        </w:rPr>
        <w:t>三、</w:t>
      </w:r>
      <w:r>
        <w:rPr>
          <w:rFonts w:hint="eastAsia" w:ascii="仿宋" w:hAnsi="仿宋" w:eastAsia="仿宋"/>
          <w:color w:val="000000"/>
          <w:sz w:val="32"/>
          <w:szCs w:val="32"/>
        </w:rPr>
        <w:t>支</w:t>
      </w:r>
      <w:r>
        <w:rPr>
          <w:rStyle w:val="25"/>
          <w:rFonts w:hint="eastAsia" w:ascii="仿宋" w:hAnsi="仿宋" w:eastAsia="仿宋"/>
          <w:b w:val="0"/>
          <w:bCs w:val="0"/>
        </w:rPr>
        <w:t>出决算表</w:t>
      </w:r>
      <w:bookmarkEnd w:id="54"/>
      <w:bookmarkStart w:id="55" w:name="_Toc15396622"/>
    </w:p>
    <w:p>
      <w:pPr>
        <w:spacing w:line="600" w:lineRule="exact"/>
        <w:jc w:val="left"/>
        <w:outlineLvl w:val="0"/>
        <w:rPr>
          <w:rStyle w:val="25"/>
          <w:rFonts w:ascii="仿宋" w:hAnsi="仿宋" w:eastAsia="仿宋"/>
          <w:b w:val="0"/>
          <w:bCs w:val="0"/>
        </w:rPr>
      </w:pPr>
      <w:r>
        <w:rPr>
          <w:rStyle w:val="25"/>
          <w:rFonts w:hint="eastAsia" w:ascii="仿宋" w:hAnsi="仿宋" w:eastAsia="仿宋"/>
          <w:b w:val="0"/>
          <w:bCs w:val="0"/>
        </w:rPr>
        <w:t>四、</w:t>
      </w:r>
      <w:r>
        <w:rPr>
          <w:rFonts w:hint="eastAsia" w:ascii="仿宋" w:hAnsi="仿宋" w:eastAsia="仿宋"/>
          <w:color w:val="000000"/>
          <w:sz w:val="32"/>
          <w:szCs w:val="32"/>
        </w:rPr>
        <w:t>财</w:t>
      </w:r>
      <w:r>
        <w:rPr>
          <w:rStyle w:val="25"/>
          <w:rFonts w:hint="eastAsia" w:ascii="仿宋" w:hAnsi="仿宋" w:eastAsia="仿宋"/>
          <w:b w:val="0"/>
          <w:bCs w:val="0"/>
        </w:rPr>
        <w:t>政拨款收入支出决算总表</w:t>
      </w:r>
      <w:bookmarkEnd w:id="55"/>
      <w:bookmarkStart w:id="56" w:name="_Toc15396623"/>
    </w:p>
    <w:p>
      <w:pPr>
        <w:spacing w:line="600" w:lineRule="exact"/>
        <w:jc w:val="left"/>
        <w:outlineLvl w:val="0"/>
        <w:rPr>
          <w:rStyle w:val="25"/>
          <w:rFonts w:ascii="仿宋" w:hAnsi="仿宋" w:eastAsia="仿宋"/>
          <w:b w:val="0"/>
          <w:bCs w:val="0"/>
        </w:rPr>
      </w:pPr>
      <w:r>
        <w:rPr>
          <w:rStyle w:val="25"/>
          <w:rFonts w:hint="eastAsia" w:ascii="仿宋" w:hAnsi="仿宋" w:eastAsia="仿宋"/>
          <w:b w:val="0"/>
          <w:bCs w:val="0"/>
        </w:rPr>
        <w:t>五、</w:t>
      </w:r>
      <w:r>
        <w:rPr>
          <w:rFonts w:hint="eastAsia" w:ascii="仿宋" w:hAnsi="仿宋" w:eastAsia="仿宋"/>
          <w:color w:val="000000"/>
          <w:sz w:val="32"/>
          <w:szCs w:val="32"/>
        </w:rPr>
        <w:t>财</w:t>
      </w:r>
      <w:r>
        <w:rPr>
          <w:rStyle w:val="25"/>
          <w:rFonts w:hint="eastAsia" w:ascii="仿宋" w:hAnsi="仿宋" w:eastAsia="仿宋"/>
          <w:b w:val="0"/>
          <w:bCs w:val="0"/>
        </w:rPr>
        <w:t>政拨款支出决算明细表</w:t>
      </w:r>
      <w:bookmarkEnd w:id="56"/>
      <w:bookmarkStart w:id="57" w:name="_Toc15396624"/>
    </w:p>
    <w:p>
      <w:pPr>
        <w:spacing w:line="600" w:lineRule="exact"/>
        <w:jc w:val="left"/>
        <w:outlineLvl w:val="0"/>
        <w:rPr>
          <w:rStyle w:val="25"/>
          <w:rFonts w:ascii="仿宋" w:hAnsi="仿宋" w:eastAsia="仿宋"/>
          <w:b w:val="0"/>
          <w:bCs w:val="0"/>
        </w:rPr>
      </w:pPr>
      <w:r>
        <w:rPr>
          <w:rStyle w:val="25"/>
          <w:rFonts w:hint="eastAsia" w:ascii="仿宋" w:hAnsi="仿宋" w:eastAsia="仿宋"/>
          <w:b w:val="0"/>
          <w:bCs w:val="0"/>
        </w:rPr>
        <w:t>六、</w:t>
      </w:r>
      <w:r>
        <w:rPr>
          <w:rFonts w:hint="eastAsia" w:ascii="仿宋" w:hAnsi="仿宋" w:eastAsia="仿宋"/>
          <w:color w:val="000000"/>
          <w:sz w:val="32"/>
          <w:szCs w:val="32"/>
        </w:rPr>
        <w:t>一</w:t>
      </w:r>
      <w:r>
        <w:rPr>
          <w:rStyle w:val="25"/>
          <w:rFonts w:hint="eastAsia" w:ascii="仿宋" w:hAnsi="仿宋" w:eastAsia="仿宋"/>
          <w:b w:val="0"/>
          <w:bCs w:val="0"/>
        </w:rPr>
        <w:t>般公共预算财政拨款支出决算表</w:t>
      </w:r>
      <w:bookmarkEnd w:id="57"/>
      <w:bookmarkStart w:id="58" w:name="_Toc15396625"/>
    </w:p>
    <w:p>
      <w:pPr>
        <w:spacing w:line="600" w:lineRule="exact"/>
        <w:jc w:val="left"/>
        <w:outlineLvl w:val="0"/>
        <w:rPr>
          <w:rStyle w:val="25"/>
          <w:rFonts w:ascii="仿宋" w:hAnsi="仿宋" w:eastAsia="仿宋"/>
          <w:b w:val="0"/>
          <w:bCs w:val="0"/>
        </w:rPr>
      </w:pPr>
      <w:r>
        <w:rPr>
          <w:rStyle w:val="25"/>
          <w:rFonts w:hint="eastAsia" w:ascii="仿宋" w:hAnsi="仿宋" w:eastAsia="仿宋"/>
          <w:b w:val="0"/>
          <w:bCs w:val="0"/>
        </w:rPr>
        <w:t>七、</w:t>
      </w:r>
      <w:r>
        <w:rPr>
          <w:rFonts w:hint="eastAsia" w:ascii="仿宋" w:hAnsi="仿宋" w:eastAsia="仿宋"/>
          <w:color w:val="000000"/>
          <w:sz w:val="32"/>
          <w:szCs w:val="32"/>
        </w:rPr>
        <w:t>一</w:t>
      </w:r>
      <w:r>
        <w:rPr>
          <w:rStyle w:val="25"/>
          <w:rFonts w:hint="eastAsia" w:ascii="仿宋" w:hAnsi="仿宋" w:eastAsia="仿宋"/>
          <w:b w:val="0"/>
          <w:bCs w:val="0"/>
        </w:rPr>
        <w:t>般公共预算财政拨款支出决算明细表</w:t>
      </w:r>
      <w:bookmarkEnd w:id="58"/>
      <w:bookmarkStart w:id="59" w:name="_Toc15396626"/>
    </w:p>
    <w:p>
      <w:pPr>
        <w:spacing w:line="600" w:lineRule="exact"/>
        <w:jc w:val="left"/>
        <w:outlineLvl w:val="0"/>
        <w:rPr>
          <w:rFonts w:ascii="仿宋" w:hAnsi="仿宋" w:eastAsia="仿宋"/>
          <w:color w:val="000000"/>
          <w:sz w:val="32"/>
          <w:szCs w:val="32"/>
        </w:rPr>
      </w:pPr>
      <w:r>
        <w:rPr>
          <w:rStyle w:val="25"/>
          <w:rFonts w:hint="eastAsia" w:ascii="仿宋" w:hAnsi="仿宋" w:eastAsia="仿宋"/>
          <w:b w:val="0"/>
          <w:bCs w:val="0"/>
        </w:rPr>
        <w:t>八、</w:t>
      </w:r>
      <w:r>
        <w:rPr>
          <w:rFonts w:hint="eastAsia" w:ascii="仿宋" w:hAnsi="仿宋" w:eastAsia="仿宋"/>
          <w:color w:val="000000"/>
          <w:sz w:val="32"/>
          <w:szCs w:val="32"/>
        </w:rPr>
        <w:t>一</w:t>
      </w:r>
      <w:r>
        <w:rPr>
          <w:rStyle w:val="25"/>
          <w:rFonts w:hint="eastAsia" w:ascii="仿宋" w:hAnsi="仿宋" w:eastAsia="仿宋"/>
          <w:b w:val="0"/>
          <w:bCs w:val="0"/>
        </w:rPr>
        <w:t>般公共预算财政拨款基本支出决算表</w:t>
      </w:r>
      <w:bookmarkEnd w:id="59"/>
    </w:p>
    <w:p>
      <w:pPr>
        <w:pStyle w:val="3"/>
        <w:spacing w:line="440" w:lineRule="exact"/>
        <w:rPr>
          <w:rFonts w:ascii="仿宋" w:hAnsi="仿宋" w:eastAsia="仿宋"/>
          <w:color w:val="000000"/>
        </w:rPr>
      </w:pPr>
      <w:bookmarkStart w:id="60"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0"/>
    </w:p>
    <w:p>
      <w:pPr>
        <w:pStyle w:val="3"/>
        <w:spacing w:line="440" w:lineRule="exact"/>
        <w:ind w:left="640" w:hanging="640" w:hangingChars="200"/>
        <w:rPr>
          <w:rFonts w:ascii="仿宋" w:hAnsi="仿宋" w:eastAsia="仿宋"/>
          <w:color w:val="000000"/>
        </w:rPr>
      </w:pPr>
      <w:bookmarkStart w:id="61"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1"/>
      <w:r>
        <w:rPr>
          <w:rStyle w:val="25"/>
          <w:rFonts w:hint="eastAsia" w:ascii="仿宋" w:hAnsi="仿宋" w:eastAsia="仿宋"/>
          <w:b w:val="0"/>
          <w:bCs w:val="0"/>
        </w:rPr>
        <w:t>（本表无数据）</w:t>
      </w:r>
    </w:p>
    <w:p>
      <w:pPr>
        <w:pStyle w:val="3"/>
        <w:spacing w:line="440" w:lineRule="exact"/>
        <w:rPr>
          <w:rFonts w:ascii="仿宋" w:hAnsi="仿宋" w:eastAsia="仿宋"/>
          <w:color w:val="000000"/>
        </w:rPr>
      </w:pPr>
      <w:bookmarkStart w:id="62"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2"/>
    </w:p>
    <w:p>
      <w:pPr>
        <w:pStyle w:val="3"/>
        <w:spacing w:line="440" w:lineRule="exact"/>
        <w:ind w:left="640" w:hanging="640" w:hangingChars="200"/>
        <w:rPr>
          <w:rFonts w:ascii="仿宋" w:hAnsi="仿宋" w:eastAsia="仿宋"/>
          <w:color w:val="000000"/>
        </w:rPr>
      </w:pPr>
      <w:bookmarkStart w:id="63"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3"/>
      <w:r>
        <w:rPr>
          <w:rStyle w:val="25"/>
          <w:rFonts w:hint="eastAsia" w:ascii="仿宋" w:hAnsi="仿宋" w:eastAsia="仿宋"/>
          <w:b w:val="0"/>
          <w:bCs w:val="0"/>
        </w:rPr>
        <w:t>（本表无数据）</w:t>
      </w:r>
    </w:p>
    <w:p>
      <w:pPr>
        <w:pStyle w:val="3"/>
        <w:spacing w:line="440" w:lineRule="exact"/>
        <w:ind w:left="640" w:hanging="640" w:hangingChars="200"/>
        <w:rPr>
          <w:rFonts w:ascii="仿宋" w:hAnsi="仿宋" w:eastAsia="仿宋"/>
          <w:color w:val="000000"/>
        </w:rPr>
      </w:pPr>
      <w:bookmarkStart w:id="64" w:name="_Toc15396631"/>
      <w:r>
        <w:rPr>
          <w:rStyle w:val="25"/>
          <w:rFonts w:hint="eastAsia" w:ascii="仿宋" w:hAnsi="仿宋" w:eastAsia="仿宋"/>
          <w:b w:val="0"/>
          <w:bCs w:val="0"/>
        </w:rPr>
        <w:t>十三、</w:t>
      </w:r>
      <w:r>
        <w:rPr>
          <w:rFonts w:hint="eastAsia" w:ascii="仿宋" w:hAnsi="仿宋" w:eastAsia="仿宋"/>
          <w:b w:val="0"/>
          <w:color w:val="000000"/>
        </w:rPr>
        <w:t>国有资本经营预算财政拨款收入支出决算表</w:t>
      </w:r>
      <w:r>
        <w:rPr>
          <w:rStyle w:val="25"/>
          <w:rFonts w:hint="eastAsia" w:ascii="仿宋" w:hAnsi="仿宋" w:eastAsia="仿宋"/>
          <w:b w:val="0"/>
          <w:bCs w:val="0"/>
        </w:rPr>
        <w:t>（本表无数据）</w:t>
      </w:r>
    </w:p>
    <w:p>
      <w:pPr>
        <w:pStyle w:val="3"/>
        <w:spacing w:line="440" w:lineRule="exact"/>
        <w:ind w:left="640" w:hanging="640" w:hangingChars="200"/>
        <w:rPr>
          <w:rFonts w:hint="eastAsia" w:ascii="仿宋" w:hAnsi="仿宋" w:eastAsia="仿宋"/>
          <w:color w:val="000000"/>
        </w:rPr>
      </w:pPr>
      <w:r>
        <w:rPr>
          <w:rFonts w:hint="eastAsia" w:ascii="仿宋" w:hAnsi="仿宋" w:eastAsia="仿宋"/>
          <w:b w:val="0"/>
          <w:color w:val="000000"/>
        </w:rPr>
        <w:t>十四、国</w:t>
      </w:r>
      <w:r>
        <w:rPr>
          <w:rStyle w:val="25"/>
          <w:rFonts w:hint="eastAsia" w:ascii="仿宋" w:hAnsi="仿宋" w:eastAsia="仿宋"/>
          <w:b w:val="0"/>
          <w:bCs w:val="0"/>
        </w:rPr>
        <w:t>有资本经营预算财政拨款支出决算表</w:t>
      </w:r>
      <w:bookmarkEnd w:id="64"/>
      <w:r>
        <w:rPr>
          <w:rStyle w:val="25"/>
          <w:rFonts w:hint="eastAsia" w:ascii="仿宋" w:hAnsi="仿宋" w:eastAsia="仿宋"/>
          <w:b w:val="0"/>
          <w:bCs w:val="0"/>
        </w:rPr>
        <w:t>（本表无数据）</w:t>
      </w:r>
    </w:p>
    <w:p>
      <w:pPr>
        <w:spacing w:line="600" w:lineRule="exact"/>
        <w:outlineLvl w:val="0"/>
        <w:rPr>
          <w:rFonts w:ascii="仿宋" w:hAnsi="仿宋" w:eastAsia="仿宋" w:cs="仿宋_GB2312"/>
          <w:sz w:val="32"/>
          <w:szCs w:val="32"/>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30</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D0DB1"/>
    <w:multiLevelType w:val="singleLevel"/>
    <w:tmpl w:val="B5DD0DB1"/>
    <w:lvl w:ilvl="0" w:tentative="0">
      <w:start w:val="9"/>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E1MjFlMTYwMDAzM2Y5N2I0ZDA1ZGVkMzEzYTA5MzcifQ=="/>
  </w:docVars>
  <w:rsids>
    <w:rsidRoot w:val="00F1361C"/>
    <w:rsid w:val="000003F3"/>
    <w:rsid w:val="00000E4E"/>
    <w:rsid w:val="0000194E"/>
    <w:rsid w:val="0000196A"/>
    <w:rsid w:val="00015D03"/>
    <w:rsid w:val="00016BDE"/>
    <w:rsid w:val="00020446"/>
    <w:rsid w:val="000222C6"/>
    <w:rsid w:val="0002549F"/>
    <w:rsid w:val="000351AF"/>
    <w:rsid w:val="00045E92"/>
    <w:rsid w:val="00050120"/>
    <w:rsid w:val="00057B3D"/>
    <w:rsid w:val="0006487A"/>
    <w:rsid w:val="00065F8F"/>
    <w:rsid w:val="000768F2"/>
    <w:rsid w:val="00080176"/>
    <w:rsid w:val="0009184B"/>
    <w:rsid w:val="0009593C"/>
    <w:rsid w:val="000A0FED"/>
    <w:rsid w:val="000A1C94"/>
    <w:rsid w:val="000B047F"/>
    <w:rsid w:val="000B5923"/>
    <w:rsid w:val="000B5A48"/>
    <w:rsid w:val="000B6FF3"/>
    <w:rsid w:val="000C01B1"/>
    <w:rsid w:val="000C3467"/>
    <w:rsid w:val="000C3593"/>
    <w:rsid w:val="000C3CA6"/>
    <w:rsid w:val="000C7B7A"/>
    <w:rsid w:val="000D1267"/>
    <w:rsid w:val="000D1D50"/>
    <w:rsid w:val="000D4B10"/>
    <w:rsid w:val="000D5782"/>
    <w:rsid w:val="000E613E"/>
    <w:rsid w:val="000E6613"/>
    <w:rsid w:val="000E7119"/>
    <w:rsid w:val="00103506"/>
    <w:rsid w:val="00114E9B"/>
    <w:rsid w:val="001172A6"/>
    <w:rsid w:val="00126DB3"/>
    <w:rsid w:val="0014729F"/>
    <w:rsid w:val="00157BAB"/>
    <w:rsid w:val="001654D1"/>
    <w:rsid w:val="00167D46"/>
    <w:rsid w:val="00176389"/>
    <w:rsid w:val="00176397"/>
    <w:rsid w:val="0018106D"/>
    <w:rsid w:val="00181195"/>
    <w:rsid w:val="00183B9C"/>
    <w:rsid w:val="00186450"/>
    <w:rsid w:val="001877A7"/>
    <w:rsid w:val="00187B55"/>
    <w:rsid w:val="00191536"/>
    <w:rsid w:val="0019410F"/>
    <w:rsid w:val="00196687"/>
    <w:rsid w:val="001A2960"/>
    <w:rsid w:val="001C0962"/>
    <w:rsid w:val="001C67C1"/>
    <w:rsid w:val="001D45A5"/>
    <w:rsid w:val="001D7531"/>
    <w:rsid w:val="001E737D"/>
    <w:rsid w:val="001F0592"/>
    <w:rsid w:val="001F7506"/>
    <w:rsid w:val="002006CD"/>
    <w:rsid w:val="00202B36"/>
    <w:rsid w:val="00204B7A"/>
    <w:rsid w:val="0021101A"/>
    <w:rsid w:val="00216034"/>
    <w:rsid w:val="00220536"/>
    <w:rsid w:val="00221F83"/>
    <w:rsid w:val="00235629"/>
    <w:rsid w:val="00260C38"/>
    <w:rsid w:val="002616C0"/>
    <w:rsid w:val="00263180"/>
    <w:rsid w:val="002662AA"/>
    <w:rsid w:val="002676E4"/>
    <w:rsid w:val="00272537"/>
    <w:rsid w:val="00274815"/>
    <w:rsid w:val="0027691F"/>
    <w:rsid w:val="00280496"/>
    <w:rsid w:val="002840CF"/>
    <w:rsid w:val="00295495"/>
    <w:rsid w:val="002A0B0C"/>
    <w:rsid w:val="002A379D"/>
    <w:rsid w:val="002A6F4F"/>
    <w:rsid w:val="002B18D9"/>
    <w:rsid w:val="002B2613"/>
    <w:rsid w:val="002B4220"/>
    <w:rsid w:val="002C25A0"/>
    <w:rsid w:val="002D093F"/>
    <w:rsid w:val="002D1D3F"/>
    <w:rsid w:val="002D41DF"/>
    <w:rsid w:val="002E3A19"/>
    <w:rsid w:val="002E668A"/>
    <w:rsid w:val="002F1818"/>
    <w:rsid w:val="002F567B"/>
    <w:rsid w:val="00307065"/>
    <w:rsid w:val="003160CE"/>
    <w:rsid w:val="003216A9"/>
    <w:rsid w:val="00322635"/>
    <w:rsid w:val="0032324E"/>
    <w:rsid w:val="00340798"/>
    <w:rsid w:val="0034291E"/>
    <w:rsid w:val="00350D2C"/>
    <w:rsid w:val="00365EEE"/>
    <w:rsid w:val="0037013F"/>
    <w:rsid w:val="00380C92"/>
    <w:rsid w:val="0039435E"/>
    <w:rsid w:val="00395D52"/>
    <w:rsid w:val="003A484F"/>
    <w:rsid w:val="003B0BE0"/>
    <w:rsid w:val="003B0C1B"/>
    <w:rsid w:val="003B688C"/>
    <w:rsid w:val="003C0291"/>
    <w:rsid w:val="003C1BA5"/>
    <w:rsid w:val="003C39AE"/>
    <w:rsid w:val="003C7B60"/>
    <w:rsid w:val="003D03A7"/>
    <w:rsid w:val="003D1FB2"/>
    <w:rsid w:val="003D364E"/>
    <w:rsid w:val="003D66DA"/>
    <w:rsid w:val="003E1310"/>
    <w:rsid w:val="003E21D7"/>
    <w:rsid w:val="003E67B6"/>
    <w:rsid w:val="003E6F55"/>
    <w:rsid w:val="003F11A2"/>
    <w:rsid w:val="003F3139"/>
    <w:rsid w:val="003F4675"/>
    <w:rsid w:val="004037C5"/>
    <w:rsid w:val="00406254"/>
    <w:rsid w:val="00416935"/>
    <w:rsid w:val="004223DE"/>
    <w:rsid w:val="004229BD"/>
    <w:rsid w:val="00430D52"/>
    <w:rsid w:val="004341F6"/>
    <w:rsid w:val="00434489"/>
    <w:rsid w:val="00436BCD"/>
    <w:rsid w:val="00437085"/>
    <w:rsid w:val="00443880"/>
    <w:rsid w:val="004464F4"/>
    <w:rsid w:val="00456CEB"/>
    <w:rsid w:val="004654E9"/>
    <w:rsid w:val="00471401"/>
    <w:rsid w:val="00473F31"/>
    <w:rsid w:val="0048263A"/>
    <w:rsid w:val="00486247"/>
    <w:rsid w:val="00487E5D"/>
    <w:rsid w:val="004A16EC"/>
    <w:rsid w:val="004A2E85"/>
    <w:rsid w:val="004A4CC1"/>
    <w:rsid w:val="004A711F"/>
    <w:rsid w:val="004B199D"/>
    <w:rsid w:val="004B4690"/>
    <w:rsid w:val="004C3B0E"/>
    <w:rsid w:val="004E0A2D"/>
    <w:rsid w:val="004E206B"/>
    <w:rsid w:val="004E6DF7"/>
    <w:rsid w:val="004F0FBD"/>
    <w:rsid w:val="004F6471"/>
    <w:rsid w:val="00505A47"/>
    <w:rsid w:val="00512FDA"/>
    <w:rsid w:val="00516EC6"/>
    <w:rsid w:val="00520DA0"/>
    <w:rsid w:val="005277AB"/>
    <w:rsid w:val="00540C8C"/>
    <w:rsid w:val="00547EC6"/>
    <w:rsid w:val="00553B85"/>
    <w:rsid w:val="00553E1F"/>
    <w:rsid w:val="00564E3C"/>
    <w:rsid w:val="005664BB"/>
    <w:rsid w:val="0057001A"/>
    <w:rsid w:val="0057481D"/>
    <w:rsid w:val="00582E91"/>
    <w:rsid w:val="0058486E"/>
    <w:rsid w:val="00587C0A"/>
    <w:rsid w:val="005A780F"/>
    <w:rsid w:val="005B4AE5"/>
    <w:rsid w:val="005D1C8B"/>
    <w:rsid w:val="005D206C"/>
    <w:rsid w:val="005D5CED"/>
    <w:rsid w:val="005E68F4"/>
    <w:rsid w:val="005F1A4C"/>
    <w:rsid w:val="006038EC"/>
    <w:rsid w:val="00603926"/>
    <w:rsid w:val="00605688"/>
    <w:rsid w:val="006070AF"/>
    <w:rsid w:val="00607E6C"/>
    <w:rsid w:val="006101B1"/>
    <w:rsid w:val="00610E49"/>
    <w:rsid w:val="006129D8"/>
    <w:rsid w:val="00614E44"/>
    <w:rsid w:val="0062053E"/>
    <w:rsid w:val="00622830"/>
    <w:rsid w:val="0062503E"/>
    <w:rsid w:val="00630AEF"/>
    <w:rsid w:val="006325F8"/>
    <w:rsid w:val="00633652"/>
    <w:rsid w:val="00634C9A"/>
    <w:rsid w:val="006360B5"/>
    <w:rsid w:val="006435B4"/>
    <w:rsid w:val="006440E4"/>
    <w:rsid w:val="00653E72"/>
    <w:rsid w:val="006578E1"/>
    <w:rsid w:val="0066343B"/>
    <w:rsid w:val="00664777"/>
    <w:rsid w:val="00664E3F"/>
    <w:rsid w:val="006658C4"/>
    <w:rsid w:val="006748A4"/>
    <w:rsid w:val="00680846"/>
    <w:rsid w:val="00683E73"/>
    <w:rsid w:val="006855B7"/>
    <w:rsid w:val="00690342"/>
    <w:rsid w:val="006A3141"/>
    <w:rsid w:val="006A4455"/>
    <w:rsid w:val="006A5E34"/>
    <w:rsid w:val="006B1E8F"/>
    <w:rsid w:val="006B2422"/>
    <w:rsid w:val="006B2B9A"/>
    <w:rsid w:val="006B6E17"/>
    <w:rsid w:val="006C1937"/>
    <w:rsid w:val="006C49D3"/>
    <w:rsid w:val="006C4ADE"/>
    <w:rsid w:val="006C75D0"/>
    <w:rsid w:val="006C7C70"/>
    <w:rsid w:val="006D0044"/>
    <w:rsid w:val="006D1E37"/>
    <w:rsid w:val="006F020C"/>
    <w:rsid w:val="006F0965"/>
    <w:rsid w:val="006F46A4"/>
    <w:rsid w:val="0070462C"/>
    <w:rsid w:val="00707DAD"/>
    <w:rsid w:val="007127B7"/>
    <w:rsid w:val="0072029D"/>
    <w:rsid w:val="00726187"/>
    <w:rsid w:val="007338EC"/>
    <w:rsid w:val="007416B6"/>
    <w:rsid w:val="0074270E"/>
    <w:rsid w:val="00746F48"/>
    <w:rsid w:val="0075404D"/>
    <w:rsid w:val="007546E1"/>
    <w:rsid w:val="0076182A"/>
    <w:rsid w:val="0076572C"/>
    <w:rsid w:val="00767B7E"/>
    <w:rsid w:val="007719A3"/>
    <w:rsid w:val="0077448C"/>
    <w:rsid w:val="007770C3"/>
    <w:rsid w:val="0078210A"/>
    <w:rsid w:val="00784D24"/>
    <w:rsid w:val="00785E16"/>
    <w:rsid w:val="00785FBA"/>
    <w:rsid w:val="00786E4A"/>
    <w:rsid w:val="007875EB"/>
    <w:rsid w:val="0079426B"/>
    <w:rsid w:val="00794905"/>
    <w:rsid w:val="007A1F8F"/>
    <w:rsid w:val="007B1A09"/>
    <w:rsid w:val="007C1D13"/>
    <w:rsid w:val="007D1FFA"/>
    <w:rsid w:val="007D312A"/>
    <w:rsid w:val="007D3F19"/>
    <w:rsid w:val="007D6655"/>
    <w:rsid w:val="007D7F32"/>
    <w:rsid w:val="007E23B0"/>
    <w:rsid w:val="007F1991"/>
    <w:rsid w:val="007F2C2F"/>
    <w:rsid w:val="007F38DE"/>
    <w:rsid w:val="007F55FC"/>
    <w:rsid w:val="007F5665"/>
    <w:rsid w:val="007F78B2"/>
    <w:rsid w:val="00800112"/>
    <w:rsid w:val="00810C84"/>
    <w:rsid w:val="00822634"/>
    <w:rsid w:val="008253BB"/>
    <w:rsid w:val="00831330"/>
    <w:rsid w:val="00831E09"/>
    <w:rsid w:val="0083706E"/>
    <w:rsid w:val="008423A5"/>
    <w:rsid w:val="00842524"/>
    <w:rsid w:val="00850625"/>
    <w:rsid w:val="00853718"/>
    <w:rsid w:val="00855221"/>
    <w:rsid w:val="00860645"/>
    <w:rsid w:val="008632C7"/>
    <w:rsid w:val="00871F71"/>
    <w:rsid w:val="00873619"/>
    <w:rsid w:val="00882AB9"/>
    <w:rsid w:val="00885AF4"/>
    <w:rsid w:val="00887609"/>
    <w:rsid w:val="0089026D"/>
    <w:rsid w:val="0089365E"/>
    <w:rsid w:val="008939CD"/>
    <w:rsid w:val="008970ED"/>
    <w:rsid w:val="008A547E"/>
    <w:rsid w:val="008B768C"/>
    <w:rsid w:val="008C44F1"/>
    <w:rsid w:val="008C4DB1"/>
    <w:rsid w:val="008C4EAF"/>
    <w:rsid w:val="008C5176"/>
    <w:rsid w:val="008C7FD0"/>
    <w:rsid w:val="008D359F"/>
    <w:rsid w:val="008E0E22"/>
    <w:rsid w:val="008E1DE7"/>
    <w:rsid w:val="008E2BED"/>
    <w:rsid w:val="008E3DBC"/>
    <w:rsid w:val="008E707C"/>
    <w:rsid w:val="008E78C6"/>
    <w:rsid w:val="00900B08"/>
    <w:rsid w:val="00902155"/>
    <w:rsid w:val="00902FA3"/>
    <w:rsid w:val="00911716"/>
    <w:rsid w:val="00923564"/>
    <w:rsid w:val="0092392E"/>
    <w:rsid w:val="00930D4A"/>
    <w:rsid w:val="00931328"/>
    <w:rsid w:val="009315F9"/>
    <w:rsid w:val="0093379C"/>
    <w:rsid w:val="00946945"/>
    <w:rsid w:val="00951248"/>
    <w:rsid w:val="0095152F"/>
    <w:rsid w:val="00953DDE"/>
    <w:rsid w:val="00954A0F"/>
    <w:rsid w:val="00954C49"/>
    <w:rsid w:val="0097099F"/>
    <w:rsid w:val="00971997"/>
    <w:rsid w:val="00971FFC"/>
    <w:rsid w:val="00974790"/>
    <w:rsid w:val="00976772"/>
    <w:rsid w:val="00980CFD"/>
    <w:rsid w:val="009850E7"/>
    <w:rsid w:val="0098660A"/>
    <w:rsid w:val="009931C3"/>
    <w:rsid w:val="00997FF3"/>
    <w:rsid w:val="009A1118"/>
    <w:rsid w:val="009B2C43"/>
    <w:rsid w:val="009B4EAE"/>
    <w:rsid w:val="009B7573"/>
    <w:rsid w:val="009C22F4"/>
    <w:rsid w:val="009C2E98"/>
    <w:rsid w:val="009D3447"/>
    <w:rsid w:val="009D4711"/>
    <w:rsid w:val="009E1FF6"/>
    <w:rsid w:val="009F1185"/>
    <w:rsid w:val="009F18CD"/>
    <w:rsid w:val="009F2A13"/>
    <w:rsid w:val="00A04EB0"/>
    <w:rsid w:val="00A13CC1"/>
    <w:rsid w:val="00A16847"/>
    <w:rsid w:val="00A215A4"/>
    <w:rsid w:val="00A21D1B"/>
    <w:rsid w:val="00A237D8"/>
    <w:rsid w:val="00A268C4"/>
    <w:rsid w:val="00A307CD"/>
    <w:rsid w:val="00A325A9"/>
    <w:rsid w:val="00A37A9B"/>
    <w:rsid w:val="00A40A00"/>
    <w:rsid w:val="00A4142F"/>
    <w:rsid w:val="00A45B01"/>
    <w:rsid w:val="00A51B81"/>
    <w:rsid w:val="00A56DF2"/>
    <w:rsid w:val="00A57CB7"/>
    <w:rsid w:val="00A67AB5"/>
    <w:rsid w:val="00A87A47"/>
    <w:rsid w:val="00A91760"/>
    <w:rsid w:val="00A93B00"/>
    <w:rsid w:val="00A93C21"/>
    <w:rsid w:val="00A979DA"/>
    <w:rsid w:val="00AA1D9F"/>
    <w:rsid w:val="00AA530A"/>
    <w:rsid w:val="00AB0B81"/>
    <w:rsid w:val="00AC3C6A"/>
    <w:rsid w:val="00AD5620"/>
    <w:rsid w:val="00AD76A0"/>
    <w:rsid w:val="00AD7C1B"/>
    <w:rsid w:val="00AE16BA"/>
    <w:rsid w:val="00AE1EBE"/>
    <w:rsid w:val="00AE6189"/>
    <w:rsid w:val="00AE6966"/>
    <w:rsid w:val="00AF5B27"/>
    <w:rsid w:val="00B02C31"/>
    <w:rsid w:val="00B03C9D"/>
    <w:rsid w:val="00B060AE"/>
    <w:rsid w:val="00B10517"/>
    <w:rsid w:val="00B11E43"/>
    <w:rsid w:val="00B126A2"/>
    <w:rsid w:val="00B13EFC"/>
    <w:rsid w:val="00B14E76"/>
    <w:rsid w:val="00B15004"/>
    <w:rsid w:val="00B160C3"/>
    <w:rsid w:val="00B161B8"/>
    <w:rsid w:val="00B2048C"/>
    <w:rsid w:val="00B304BF"/>
    <w:rsid w:val="00B310B9"/>
    <w:rsid w:val="00B327B4"/>
    <w:rsid w:val="00B35F3F"/>
    <w:rsid w:val="00B36CBB"/>
    <w:rsid w:val="00B425E0"/>
    <w:rsid w:val="00B440AA"/>
    <w:rsid w:val="00B44B70"/>
    <w:rsid w:val="00B5292E"/>
    <w:rsid w:val="00B53C01"/>
    <w:rsid w:val="00B53C56"/>
    <w:rsid w:val="00B55CA4"/>
    <w:rsid w:val="00B7485A"/>
    <w:rsid w:val="00B773DC"/>
    <w:rsid w:val="00B77EA6"/>
    <w:rsid w:val="00B81598"/>
    <w:rsid w:val="00B841F1"/>
    <w:rsid w:val="00B85F0E"/>
    <w:rsid w:val="00B86FFF"/>
    <w:rsid w:val="00B944D6"/>
    <w:rsid w:val="00BB4DF0"/>
    <w:rsid w:val="00BC289F"/>
    <w:rsid w:val="00BC5361"/>
    <w:rsid w:val="00BC5460"/>
    <w:rsid w:val="00BC6B50"/>
    <w:rsid w:val="00BD0E25"/>
    <w:rsid w:val="00BD0EEC"/>
    <w:rsid w:val="00BD4429"/>
    <w:rsid w:val="00BD6540"/>
    <w:rsid w:val="00BD76A9"/>
    <w:rsid w:val="00BE32E0"/>
    <w:rsid w:val="00BE4033"/>
    <w:rsid w:val="00BE675B"/>
    <w:rsid w:val="00BF06B1"/>
    <w:rsid w:val="00BF3BA8"/>
    <w:rsid w:val="00BF5BD6"/>
    <w:rsid w:val="00C015DD"/>
    <w:rsid w:val="00C03E31"/>
    <w:rsid w:val="00C079FE"/>
    <w:rsid w:val="00C168C7"/>
    <w:rsid w:val="00C31515"/>
    <w:rsid w:val="00C32BC1"/>
    <w:rsid w:val="00C33E72"/>
    <w:rsid w:val="00C354B2"/>
    <w:rsid w:val="00C35554"/>
    <w:rsid w:val="00C42709"/>
    <w:rsid w:val="00C478A8"/>
    <w:rsid w:val="00C50A89"/>
    <w:rsid w:val="00C51053"/>
    <w:rsid w:val="00C533CC"/>
    <w:rsid w:val="00C5353A"/>
    <w:rsid w:val="00C5751C"/>
    <w:rsid w:val="00C6051C"/>
    <w:rsid w:val="00C61BFC"/>
    <w:rsid w:val="00C62B85"/>
    <w:rsid w:val="00C65438"/>
    <w:rsid w:val="00C73AE1"/>
    <w:rsid w:val="00C91CBB"/>
    <w:rsid w:val="00CA3E5B"/>
    <w:rsid w:val="00CA4432"/>
    <w:rsid w:val="00CC09B6"/>
    <w:rsid w:val="00CC4AAA"/>
    <w:rsid w:val="00CC666F"/>
    <w:rsid w:val="00CD008A"/>
    <w:rsid w:val="00CD1E3F"/>
    <w:rsid w:val="00CD2D25"/>
    <w:rsid w:val="00CD3E03"/>
    <w:rsid w:val="00CD6603"/>
    <w:rsid w:val="00CE44F6"/>
    <w:rsid w:val="00CE49DA"/>
    <w:rsid w:val="00CE4E47"/>
    <w:rsid w:val="00CE7B61"/>
    <w:rsid w:val="00CF37FC"/>
    <w:rsid w:val="00D00095"/>
    <w:rsid w:val="00D00AE0"/>
    <w:rsid w:val="00D20620"/>
    <w:rsid w:val="00D26091"/>
    <w:rsid w:val="00D324BB"/>
    <w:rsid w:val="00D34E7C"/>
    <w:rsid w:val="00D35489"/>
    <w:rsid w:val="00D44AED"/>
    <w:rsid w:val="00D51276"/>
    <w:rsid w:val="00D52563"/>
    <w:rsid w:val="00D7035F"/>
    <w:rsid w:val="00D75E11"/>
    <w:rsid w:val="00D76F9B"/>
    <w:rsid w:val="00D96148"/>
    <w:rsid w:val="00DA2347"/>
    <w:rsid w:val="00DA65AC"/>
    <w:rsid w:val="00DB0FAB"/>
    <w:rsid w:val="00DB1913"/>
    <w:rsid w:val="00DB22DC"/>
    <w:rsid w:val="00DB6CDA"/>
    <w:rsid w:val="00DC1E37"/>
    <w:rsid w:val="00DC410D"/>
    <w:rsid w:val="00DC621E"/>
    <w:rsid w:val="00DC68CA"/>
    <w:rsid w:val="00DC6AB6"/>
    <w:rsid w:val="00DC7CBA"/>
    <w:rsid w:val="00DD5679"/>
    <w:rsid w:val="00DD73B7"/>
    <w:rsid w:val="00DE1F59"/>
    <w:rsid w:val="00DE6E76"/>
    <w:rsid w:val="00DF1824"/>
    <w:rsid w:val="00DF28BC"/>
    <w:rsid w:val="00DF34B9"/>
    <w:rsid w:val="00E01053"/>
    <w:rsid w:val="00E01B16"/>
    <w:rsid w:val="00E07ACF"/>
    <w:rsid w:val="00E104B1"/>
    <w:rsid w:val="00E10EC0"/>
    <w:rsid w:val="00E126AA"/>
    <w:rsid w:val="00E1582C"/>
    <w:rsid w:val="00E17502"/>
    <w:rsid w:val="00E300E3"/>
    <w:rsid w:val="00E30AC8"/>
    <w:rsid w:val="00E331A1"/>
    <w:rsid w:val="00E33202"/>
    <w:rsid w:val="00E336A9"/>
    <w:rsid w:val="00E36348"/>
    <w:rsid w:val="00E43A30"/>
    <w:rsid w:val="00E50624"/>
    <w:rsid w:val="00E555ED"/>
    <w:rsid w:val="00E55854"/>
    <w:rsid w:val="00E568DF"/>
    <w:rsid w:val="00E56DA8"/>
    <w:rsid w:val="00E64269"/>
    <w:rsid w:val="00E66285"/>
    <w:rsid w:val="00E755CA"/>
    <w:rsid w:val="00E75852"/>
    <w:rsid w:val="00E77DAA"/>
    <w:rsid w:val="00E80180"/>
    <w:rsid w:val="00E82267"/>
    <w:rsid w:val="00E86EE2"/>
    <w:rsid w:val="00E9055E"/>
    <w:rsid w:val="00EA010F"/>
    <w:rsid w:val="00EA4B1C"/>
    <w:rsid w:val="00EB2A20"/>
    <w:rsid w:val="00EB55AB"/>
    <w:rsid w:val="00EC414C"/>
    <w:rsid w:val="00EC6B6C"/>
    <w:rsid w:val="00ED1B63"/>
    <w:rsid w:val="00ED3C1F"/>
    <w:rsid w:val="00ED4085"/>
    <w:rsid w:val="00ED420E"/>
    <w:rsid w:val="00ED69B5"/>
    <w:rsid w:val="00ED7811"/>
    <w:rsid w:val="00EE2F57"/>
    <w:rsid w:val="00EE6775"/>
    <w:rsid w:val="00EF4C34"/>
    <w:rsid w:val="00EF6988"/>
    <w:rsid w:val="00EF77C6"/>
    <w:rsid w:val="00F015FA"/>
    <w:rsid w:val="00F05438"/>
    <w:rsid w:val="00F1361C"/>
    <w:rsid w:val="00F160C7"/>
    <w:rsid w:val="00F1666A"/>
    <w:rsid w:val="00F24DC0"/>
    <w:rsid w:val="00F36D8F"/>
    <w:rsid w:val="00F417B1"/>
    <w:rsid w:val="00F43D18"/>
    <w:rsid w:val="00F602DF"/>
    <w:rsid w:val="00F60541"/>
    <w:rsid w:val="00F645F7"/>
    <w:rsid w:val="00F73B05"/>
    <w:rsid w:val="00F74BFF"/>
    <w:rsid w:val="00F81FD9"/>
    <w:rsid w:val="00F841AA"/>
    <w:rsid w:val="00F94800"/>
    <w:rsid w:val="00FA23E8"/>
    <w:rsid w:val="00FB16C7"/>
    <w:rsid w:val="00FB1957"/>
    <w:rsid w:val="00FB29F5"/>
    <w:rsid w:val="00FD3CC1"/>
    <w:rsid w:val="00FF108E"/>
    <w:rsid w:val="00FF1E02"/>
    <w:rsid w:val="00FF30B4"/>
    <w:rsid w:val="00FF6336"/>
    <w:rsid w:val="00FF68A7"/>
    <w:rsid w:val="015A782C"/>
    <w:rsid w:val="01AA4EBD"/>
    <w:rsid w:val="02373E73"/>
    <w:rsid w:val="02505B50"/>
    <w:rsid w:val="02852E05"/>
    <w:rsid w:val="0346680B"/>
    <w:rsid w:val="038F71C9"/>
    <w:rsid w:val="03952ABC"/>
    <w:rsid w:val="03D948F8"/>
    <w:rsid w:val="03E22B16"/>
    <w:rsid w:val="03F4041A"/>
    <w:rsid w:val="04D47CBA"/>
    <w:rsid w:val="04EA1658"/>
    <w:rsid w:val="054E7CF6"/>
    <w:rsid w:val="05654756"/>
    <w:rsid w:val="059C61FC"/>
    <w:rsid w:val="05E03A3E"/>
    <w:rsid w:val="05E45B54"/>
    <w:rsid w:val="05EB073C"/>
    <w:rsid w:val="05FD5434"/>
    <w:rsid w:val="060F365A"/>
    <w:rsid w:val="06B223FF"/>
    <w:rsid w:val="06CE1DB6"/>
    <w:rsid w:val="06D10170"/>
    <w:rsid w:val="07194CAC"/>
    <w:rsid w:val="077E3A21"/>
    <w:rsid w:val="079923C4"/>
    <w:rsid w:val="07C445CF"/>
    <w:rsid w:val="07D62965"/>
    <w:rsid w:val="08260491"/>
    <w:rsid w:val="0868225C"/>
    <w:rsid w:val="08AB7056"/>
    <w:rsid w:val="08AD6CEE"/>
    <w:rsid w:val="08CE6AEC"/>
    <w:rsid w:val="08CF312C"/>
    <w:rsid w:val="09557B5C"/>
    <w:rsid w:val="095B10AA"/>
    <w:rsid w:val="0964749B"/>
    <w:rsid w:val="09E166AF"/>
    <w:rsid w:val="0A525CAD"/>
    <w:rsid w:val="0A655212"/>
    <w:rsid w:val="0A7D7D7B"/>
    <w:rsid w:val="0A914220"/>
    <w:rsid w:val="0AC51369"/>
    <w:rsid w:val="0B5678F8"/>
    <w:rsid w:val="0B6618CD"/>
    <w:rsid w:val="0C1A5424"/>
    <w:rsid w:val="0C413CD7"/>
    <w:rsid w:val="0CA86B28"/>
    <w:rsid w:val="0CCA7747"/>
    <w:rsid w:val="0D2072F6"/>
    <w:rsid w:val="0D501777"/>
    <w:rsid w:val="0D7264DD"/>
    <w:rsid w:val="0D8812C1"/>
    <w:rsid w:val="0DB04B4D"/>
    <w:rsid w:val="0DED7379"/>
    <w:rsid w:val="0DF012DD"/>
    <w:rsid w:val="0ED446D6"/>
    <w:rsid w:val="0EE16F96"/>
    <w:rsid w:val="0F964503"/>
    <w:rsid w:val="0FA147D6"/>
    <w:rsid w:val="0FB333B3"/>
    <w:rsid w:val="0FD06B9F"/>
    <w:rsid w:val="0FFE36C1"/>
    <w:rsid w:val="105742BD"/>
    <w:rsid w:val="10631685"/>
    <w:rsid w:val="109C418B"/>
    <w:rsid w:val="10A5432B"/>
    <w:rsid w:val="10C055FF"/>
    <w:rsid w:val="10D43A17"/>
    <w:rsid w:val="10EE16BE"/>
    <w:rsid w:val="11120FCE"/>
    <w:rsid w:val="11C42C96"/>
    <w:rsid w:val="125D561E"/>
    <w:rsid w:val="127B20BB"/>
    <w:rsid w:val="12B55D3A"/>
    <w:rsid w:val="12D72D7F"/>
    <w:rsid w:val="132B1D5A"/>
    <w:rsid w:val="13A3347F"/>
    <w:rsid w:val="13E61B10"/>
    <w:rsid w:val="14B24D42"/>
    <w:rsid w:val="14C511E1"/>
    <w:rsid w:val="14E46C49"/>
    <w:rsid w:val="14EB1705"/>
    <w:rsid w:val="156C50F2"/>
    <w:rsid w:val="161C20C1"/>
    <w:rsid w:val="16525286"/>
    <w:rsid w:val="167C35DD"/>
    <w:rsid w:val="16A540BC"/>
    <w:rsid w:val="16BB723D"/>
    <w:rsid w:val="16DB72F1"/>
    <w:rsid w:val="176879EA"/>
    <w:rsid w:val="176F1272"/>
    <w:rsid w:val="178761FF"/>
    <w:rsid w:val="181C699F"/>
    <w:rsid w:val="18413161"/>
    <w:rsid w:val="18604028"/>
    <w:rsid w:val="18847210"/>
    <w:rsid w:val="18A868D9"/>
    <w:rsid w:val="18C41920"/>
    <w:rsid w:val="191D58A7"/>
    <w:rsid w:val="19407AA7"/>
    <w:rsid w:val="194E645B"/>
    <w:rsid w:val="19597121"/>
    <w:rsid w:val="19FC63B9"/>
    <w:rsid w:val="1A0A399F"/>
    <w:rsid w:val="1A0D11F2"/>
    <w:rsid w:val="1A1A688E"/>
    <w:rsid w:val="1A2A18A0"/>
    <w:rsid w:val="1A5D7FC5"/>
    <w:rsid w:val="1AA531AC"/>
    <w:rsid w:val="1ABD5918"/>
    <w:rsid w:val="1B617905"/>
    <w:rsid w:val="1B6A3795"/>
    <w:rsid w:val="1BA62ECD"/>
    <w:rsid w:val="1C124D05"/>
    <w:rsid w:val="1CB61A6F"/>
    <w:rsid w:val="1CDF0421"/>
    <w:rsid w:val="1D0E7B88"/>
    <w:rsid w:val="1D182FE8"/>
    <w:rsid w:val="1D715D71"/>
    <w:rsid w:val="1D756CB2"/>
    <w:rsid w:val="1DB414E2"/>
    <w:rsid w:val="1DD1539C"/>
    <w:rsid w:val="1E0C7DA6"/>
    <w:rsid w:val="1E6432D4"/>
    <w:rsid w:val="1E8C41C2"/>
    <w:rsid w:val="1F0F1F36"/>
    <w:rsid w:val="1F112BD0"/>
    <w:rsid w:val="1F7F4634"/>
    <w:rsid w:val="1FD34049"/>
    <w:rsid w:val="203A1945"/>
    <w:rsid w:val="20410B4E"/>
    <w:rsid w:val="20611F72"/>
    <w:rsid w:val="208539D6"/>
    <w:rsid w:val="20EA4996"/>
    <w:rsid w:val="212B63BE"/>
    <w:rsid w:val="2133149C"/>
    <w:rsid w:val="214403BA"/>
    <w:rsid w:val="21694E26"/>
    <w:rsid w:val="219752BD"/>
    <w:rsid w:val="21A1065A"/>
    <w:rsid w:val="21D94A89"/>
    <w:rsid w:val="2203351B"/>
    <w:rsid w:val="223054A4"/>
    <w:rsid w:val="22791E37"/>
    <w:rsid w:val="228D73D2"/>
    <w:rsid w:val="22A272B5"/>
    <w:rsid w:val="22D8603F"/>
    <w:rsid w:val="22EA5B1F"/>
    <w:rsid w:val="23063304"/>
    <w:rsid w:val="23DC4E4F"/>
    <w:rsid w:val="23E32DFC"/>
    <w:rsid w:val="23EC4923"/>
    <w:rsid w:val="240371BF"/>
    <w:rsid w:val="24C11A03"/>
    <w:rsid w:val="254D0D24"/>
    <w:rsid w:val="25646C82"/>
    <w:rsid w:val="256E71CA"/>
    <w:rsid w:val="258A313E"/>
    <w:rsid w:val="259276FA"/>
    <w:rsid w:val="25934233"/>
    <w:rsid w:val="25AB0D36"/>
    <w:rsid w:val="25C53F66"/>
    <w:rsid w:val="25D154F2"/>
    <w:rsid w:val="25F9484B"/>
    <w:rsid w:val="268D74FE"/>
    <w:rsid w:val="26F90D40"/>
    <w:rsid w:val="275F7949"/>
    <w:rsid w:val="27691715"/>
    <w:rsid w:val="27944D81"/>
    <w:rsid w:val="279F7225"/>
    <w:rsid w:val="27C12693"/>
    <w:rsid w:val="2810112D"/>
    <w:rsid w:val="28A45831"/>
    <w:rsid w:val="28C36F0F"/>
    <w:rsid w:val="295401F6"/>
    <w:rsid w:val="298E7EF4"/>
    <w:rsid w:val="29CC3FAD"/>
    <w:rsid w:val="29FC4249"/>
    <w:rsid w:val="29FD04D3"/>
    <w:rsid w:val="2A605BB0"/>
    <w:rsid w:val="2B2C5F47"/>
    <w:rsid w:val="2BB86E21"/>
    <w:rsid w:val="2C41535E"/>
    <w:rsid w:val="2D114B2A"/>
    <w:rsid w:val="2D672F96"/>
    <w:rsid w:val="2DAF65B5"/>
    <w:rsid w:val="2DCA28DA"/>
    <w:rsid w:val="2DDF15B7"/>
    <w:rsid w:val="2EB82E59"/>
    <w:rsid w:val="2F0A06B1"/>
    <w:rsid w:val="2F4B1923"/>
    <w:rsid w:val="2FB44B26"/>
    <w:rsid w:val="2FBC4D08"/>
    <w:rsid w:val="2FC74C4D"/>
    <w:rsid w:val="305D5EE3"/>
    <w:rsid w:val="309D24F3"/>
    <w:rsid w:val="310E5321"/>
    <w:rsid w:val="311B6FB2"/>
    <w:rsid w:val="31322C34"/>
    <w:rsid w:val="313533C6"/>
    <w:rsid w:val="3140241A"/>
    <w:rsid w:val="315D3143"/>
    <w:rsid w:val="318016E2"/>
    <w:rsid w:val="319F7F4E"/>
    <w:rsid w:val="31E61CBC"/>
    <w:rsid w:val="323671F1"/>
    <w:rsid w:val="3249637B"/>
    <w:rsid w:val="32CA4593"/>
    <w:rsid w:val="32F34F79"/>
    <w:rsid w:val="32F468B3"/>
    <w:rsid w:val="32FB0301"/>
    <w:rsid w:val="33ED288A"/>
    <w:rsid w:val="343F1F53"/>
    <w:rsid w:val="34426889"/>
    <w:rsid w:val="34554DAE"/>
    <w:rsid w:val="34902BAD"/>
    <w:rsid w:val="34A31595"/>
    <w:rsid w:val="34CA03AB"/>
    <w:rsid w:val="34D35A17"/>
    <w:rsid w:val="350341C3"/>
    <w:rsid w:val="352B6192"/>
    <w:rsid w:val="352C62C3"/>
    <w:rsid w:val="353A2C57"/>
    <w:rsid w:val="355F44DF"/>
    <w:rsid w:val="35DD1BF9"/>
    <w:rsid w:val="35F43C9C"/>
    <w:rsid w:val="365E28A7"/>
    <w:rsid w:val="3664300B"/>
    <w:rsid w:val="369E4A52"/>
    <w:rsid w:val="37194E6D"/>
    <w:rsid w:val="373005FD"/>
    <w:rsid w:val="376121BB"/>
    <w:rsid w:val="37891850"/>
    <w:rsid w:val="378C7969"/>
    <w:rsid w:val="379068E3"/>
    <w:rsid w:val="37D06D97"/>
    <w:rsid w:val="384855BD"/>
    <w:rsid w:val="388B2BD7"/>
    <w:rsid w:val="38A25F59"/>
    <w:rsid w:val="38AA3D8D"/>
    <w:rsid w:val="38E54E2D"/>
    <w:rsid w:val="39202924"/>
    <w:rsid w:val="39541D61"/>
    <w:rsid w:val="39750AB0"/>
    <w:rsid w:val="3A070273"/>
    <w:rsid w:val="3A292182"/>
    <w:rsid w:val="3A3B203A"/>
    <w:rsid w:val="3A4C02FB"/>
    <w:rsid w:val="3AB56BB4"/>
    <w:rsid w:val="3AD9199F"/>
    <w:rsid w:val="3ADD50BB"/>
    <w:rsid w:val="3AF7002A"/>
    <w:rsid w:val="3B230FFD"/>
    <w:rsid w:val="3B431A75"/>
    <w:rsid w:val="3B760E54"/>
    <w:rsid w:val="3B7C19C3"/>
    <w:rsid w:val="3C3F1899"/>
    <w:rsid w:val="3C5D1BAB"/>
    <w:rsid w:val="3C6903AD"/>
    <w:rsid w:val="3D304850"/>
    <w:rsid w:val="3DF658F4"/>
    <w:rsid w:val="3DF8501D"/>
    <w:rsid w:val="3E456919"/>
    <w:rsid w:val="3E7B6558"/>
    <w:rsid w:val="3E946E66"/>
    <w:rsid w:val="3F1F546F"/>
    <w:rsid w:val="3F87601F"/>
    <w:rsid w:val="3FD30CD9"/>
    <w:rsid w:val="400605FB"/>
    <w:rsid w:val="40186EAF"/>
    <w:rsid w:val="404D0F95"/>
    <w:rsid w:val="40846DA2"/>
    <w:rsid w:val="40BE14B5"/>
    <w:rsid w:val="40FD0CDC"/>
    <w:rsid w:val="41644288"/>
    <w:rsid w:val="41BF0D08"/>
    <w:rsid w:val="41D9718D"/>
    <w:rsid w:val="41E777F7"/>
    <w:rsid w:val="425C4AE5"/>
    <w:rsid w:val="427E246D"/>
    <w:rsid w:val="42904855"/>
    <w:rsid w:val="42944EE3"/>
    <w:rsid w:val="42E36697"/>
    <w:rsid w:val="42E60330"/>
    <w:rsid w:val="433749D6"/>
    <w:rsid w:val="43375D37"/>
    <w:rsid w:val="434C0829"/>
    <w:rsid w:val="43532332"/>
    <w:rsid w:val="439149D3"/>
    <w:rsid w:val="443F248E"/>
    <w:rsid w:val="4474780C"/>
    <w:rsid w:val="44766F95"/>
    <w:rsid w:val="448E4CC7"/>
    <w:rsid w:val="44F42304"/>
    <w:rsid w:val="45237BC5"/>
    <w:rsid w:val="45432984"/>
    <w:rsid w:val="458853D9"/>
    <w:rsid w:val="464624E9"/>
    <w:rsid w:val="468141E4"/>
    <w:rsid w:val="468839D7"/>
    <w:rsid w:val="47147924"/>
    <w:rsid w:val="478F7F92"/>
    <w:rsid w:val="47920139"/>
    <w:rsid w:val="4792687B"/>
    <w:rsid w:val="47B77F77"/>
    <w:rsid w:val="47FB0802"/>
    <w:rsid w:val="48023643"/>
    <w:rsid w:val="485A6805"/>
    <w:rsid w:val="48652AD1"/>
    <w:rsid w:val="488F7C33"/>
    <w:rsid w:val="48A03D9D"/>
    <w:rsid w:val="48FA19FD"/>
    <w:rsid w:val="490A3586"/>
    <w:rsid w:val="49137521"/>
    <w:rsid w:val="49AB6A9C"/>
    <w:rsid w:val="49B03307"/>
    <w:rsid w:val="4A000147"/>
    <w:rsid w:val="4A547B6E"/>
    <w:rsid w:val="4A7C3E38"/>
    <w:rsid w:val="4A7F246C"/>
    <w:rsid w:val="4A91694F"/>
    <w:rsid w:val="4AB131AC"/>
    <w:rsid w:val="4AD9657E"/>
    <w:rsid w:val="4B403F67"/>
    <w:rsid w:val="4B5D697C"/>
    <w:rsid w:val="4BBD1CE8"/>
    <w:rsid w:val="4BD21C1A"/>
    <w:rsid w:val="4C4D47B8"/>
    <w:rsid w:val="4CD06863"/>
    <w:rsid w:val="4CFF0798"/>
    <w:rsid w:val="4D012867"/>
    <w:rsid w:val="4D3A3977"/>
    <w:rsid w:val="4D665559"/>
    <w:rsid w:val="4D6D36A4"/>
    <w:rsid w:val="4D700B97"/>
    <w:rsid w:val="4D832F15"/>
    <w:rsid w:val="4DFA2743"/>
    <w:rsid w:val="4E1745C1"/>
    <w:rsid w:val="4E2B4851"/>
    <w:rsid w:val="4E4D3988"/>
    <w:rsid w:val="4E6E49F7"/>
    <w:rsid w:val="4EA76B48"/>
    <w:rsid w:val="4EC512BE"/>
    <w:rsid w:val="4EC95E4B"/>
    <w:rsid w:val="4F3239D8"/>
    <w:rsid w:val="4F325CDB"/>
    <w:rsid w:val="4F570A0E"/>
    <w:rsid w:val="4F701229"/>
    <w:rsid w:val="4F9130E6"/>
    <w:rsid w:val="4F970F73"/>
    <w:rsid w:val="4FF463F7"/>
    <w:rsid w:val="503C3BBC"/>
    <w:rsid w:val="509E6794"/>
    <w:rsid w:val="50A1234C"/>
    <w:rsid w:val="50D6519E"/>
    <w:rsid w:val="50DF04AC"/>
    <w:rsid w:val="50EB7D9F"/>
    <w:rsid w:val="50F53BF3"/>
    <w:rsid w:val="5105239D"/>
    <w:rsid w:val="5120543D"/>
    <w:rsid w:val="51256043"/>
    <w:rsid w:val="51584135"/>
    <w:rsid w:val="519031CE"/>
    <w:rsid w:val="519C51D3"/>
    <w:rsid w:val="51B73895"/>
    <w:rsid w:val="51BA781F"/>
    <w:rsid w:val="521561E3"/>
    <w:rsid w:val="52920357"/>
    <w:rsid w:val="52FE6588"/>
    <w:rsid w:val="53465285"/>
    <w:rsid w:val="53AE786D"/>
    <w:rsid w:val="53B875F6"/>
    <w:rsid w:val="53E50EA7"/>
    <w:rsid w:val="546251E3"/>
    <w:rsid w:val="54BC3963"/>
    <w:rsid w:val="55207419"/>
    <w:rsid w:val="5565035B"/>
    <w:rsid w:val="55A1591A"/>
    <w:rsid w:val="55BD5C61"/>
    <w:rsid w:val="55CB215B"/>
    <w:rsid w:val="55CF5E6E"/>
    <w:rsid w:val="55E02F68"/>
    <w:rsid w:val="5617686E"/>
    <w:rsid w:val="565277DF"/>
    <w:rsid w:val="565976D7"/>
    <w:rsid w:val="567D0066"/>
    <w:rsid w:val="5695689F"/>
    <w:rsid w:val="56F21D1F"/>
    <w:rsid w:val="575B7976"/>
    <w:rsid w:val="5765363E"/>
    <w:rsid w:val="57A43D0F"/>
    <w:rsid w:val="57D94F0D"/>
    <w:rsid w:val="57F92EF2"/>
    <w:rsid w:val="58105E47"/>
    <w:rsid w:val="587460D4"/>
    <w:rsid w:val="58767992"/>
    <w:rsid w:val="59257CD8"/>
    <w:rsid w:val="59436BC6"/>
    <w:rsid w:val="59A1488C"/>
    <w:rsid w:val="59E31446"/>
    <w:rsid w:val="59FE32B0"/>
    <w:rsid w:val="5A060427"/>
    <w:rsid w:val="5B432FD9"/>
    <w:rsid w:val="5B6403F8"/>
    <w:rsid w:val="5B656DD6"/>
    <w:rsid w:val="5B7B0F32"/>
    <w:rsid w:val="5CCE1323"/>
    <w:rsid w:val="5D2D43C4"/>
    <w:rsid w:val="5D442C9B"/>
    <w:rsid w:val="5D487BE9"/>
    <w:rsid w:val="5D8D0BF8"/>
    <w:rsid w:val="5DDB3E05"/>
    <w:rsid w:val="5E1D672B"/>
    <w:rsid w:val="5E407DFE"/>
    <w:rsid w:val="6026619A"/>
    <w:rsid w:val="602D6EC7"/>
    <w:rsid w:val="60404AE2"/>
    <w:rsid w:val="60A5253A"/>
    <w:rsid w:val="60B44395"/>
    <w:rsid w:val="60E9400F"/>
    <w:rsid w:val="60EC0B8B"/>
    <w:rsid w:val="612A5791"/>
    <w:rsid w:val="613A6279"/>
    <w:rsid w:val="614F417C"/>
    <w:rsid w:val="617D1701"/>
    <w:rsid w:val="61AF2CD5"/>
    <w:rsid w:val="61CA0D6C"/>
    <w:rsid w:val="61FB3749"/>
    <w:rsid w:val="624F0945"/>
    <w:rsid w:val="62AD7DA8"/>
    <w:rsid w:val="62BC635B"/>
    <w:rsid w:val="630F67FB"/>
    <w:rsid w:val="631436EC"/>
    <w:rsid w:val="632D5B09"/>
    <w:rsid w:val="63617B43"/>
    <w:rsid w:val="63F92E9B"/>
    <w:rsid w:val="646667F0"/>
    <w:rsid w:val="648E02DA"/>
    <w:rsid w:val="64F80EA1"/>
    <w:rsid w:val="652F3E2F"/>
    <w:rsid w:val="65686CD9"/>
    <w:rsid w:val="65A65CEB"/>
    <w:rsid w:val="65EA3570"/>
    <w:rsid w:val="66035F91"/>
    <w:rsid w:val="665347A0"/>
    <w:rsid w:val="66834D66"/>
    <w:rsid w:val="66A266D3"/>
    <w:rsid w:val="67263ABF"/>
    <w:rsid w:val="67324F3B"/>
    <w:rsid w:val="68095F9F"/>
    <w:rsid w:val="6818763E"/>
    <w:rsid w:val="68762200"/>
    <w:rsid w:val="68951AD1"/>
    <w:rsid w:val="68EA5EB1"/>
    <w:rsid w:val="698F4153"/>
    <w:rsid w:val="69A21242"/>
    <w:rsid w:val="69C4080C"/>
    <w:rsid w:val="6A050E04"/>
    <w:rsid w:val="6A286B34"/>
    <w:rsid w:val="6A323EB1"/>
    <w:rsid w:val="6A9E25EB"/>
    <w:rsid w:val="6AA61432"/>
    <w:rsid w:val="6AB528BB"/>
    <w:rsid w:val="6ADE7537"/>
    <w:rsid w:val="6B662143"/>
    <w:rsid w:val="6BEA364B"/>
    <w:rsid w:val="6C127F5F"/>
    <w:rsid w:val="6C1765A4"/>
    <w:rsid w:val="6C2613E4"/>
    <w:rsid w:val="6CBD4137"/>
    <w:rsid w:val="6CBE10EF"/>
    <w:rsid w:val="6DB9605E"/>
    <w:rsid w:val="6E0E5342"/>
    <w:rsid w:val="6E62222D"/>
    <w:rsid w:val="6EAC7567"/>
    <w:rsid w:val="6F720F05"/>
    <w:rsid w:val="6F9B04D7"/>
    <w:rsid w:val="6FC85C1F"/>
    <w:rsid w:val="704B026F"/>
    <w:rsid w:val="707111D5"/>
    <w:rsid w:val="708F1E8C"/>
    <w:rsid w:val="70976100"/>
    <w:rsid w:val="7124707C"/>
    <w:rsid w:val="714F6867"/>
    <w:rsid w:val="71A54719"/>
    <w:rsid w:val="71DC2F28"/>
    <w:rsid w:val="7237216F"/>
    <w:rsid w:val="72702541"/>
    <w:rsid w:val="7286337F"/>
    <w:rsid w:val="72887BD0"/>
    <w:rsid w:val="728C7822"/>
    <w:rsid w:val="72925D95"/>
    <w:rsid w:val="7296175A"/>
    <w:rsid w:val="72A12F9B"/>
    <w:rsid w:val="72AA4BDE"/>
    <w:rsid w:val="72C84F9D"/>
    <w:rsid w:val="73303710"/>
    <w:rsid w:val="735305F8"/>
    <w:rsid w:val="735941EA"/>
    <w:rsid w:val="73AB0075"/>
    <w:rsid w:val="73C168D7"/>
    <w:rsid w:val="73EA101A"/>
    <w:rsid w:val="746566DB"/>
    <w:rsid w:val="748E6856"/>
    <w:rsid w:val="748F1ECD"/>
    <w:rsid w:val="751C2A16"/>
    <w:rsid w:val="75C612F4"/>
    <w:rsid w:val="75D05CCE"/>
    <w:rsid w:val="75E0710F"/>
    <w:rsid w:val="75F548B0"/>
    <w:rsid w:val="76055B05"/>
    <w:rsid w:val="767A350B"/>
    <w:rsid w:val="76826652"/>
    <w:rsid w:val="768B668B"/>
    <w:rsid w:val="772A1CC5"/>
    <w:rsid w:val="775C642B"/>
    <w:rsid w:val="77C26AED"/>
    <w:rsid w:val="77C87353"/>
    <w:rsid w:val="77DE32DE"/>
    <w:rsid w:val="7810252C"/>
    <w:rsid w:val="78192B34"/>
    <w:rsid w:val="787E4304"/>
    <w:rsid w:val="78933027"/>
    <w:rsid w:val="78BF2143"/>
    <w:rsid w:val="78C46161"/>
    <w:rsid w:val="797D7D3A"/>
    <w:rsid w:val="798B6663"/>
    <w:rsid w:val="7AF072A8"/>
    <w:rsid w:val="7B2C1881"/>
    <w:rsid w:val="7B46552C"/>
    <w:rsid w:val="7B795642"/>
    <w:rsid w:val="7B9A6ACE"/>
    <w:rsid w:val="7C374D07"/>
    <w:rsid w:val="7C665EF6"/>
    <w:rsid w:val="7D205864"/>
    <w:rsid w:val="7D2068A4"/>
    <w:rsid w:val="7D746691"/>
    <w:rsid w:val="7DE56E32"/>
    <w:rsid w:val="7E2163B7"/>
    <w:rsid w:val="7F986D4A"/>
    <w:rsid w:val="7FB10C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列出段落1"/>
    <w:basedOn w:val="1"/>
    <w:qFormat/>
    <w:uiPriority w:val="34"/>
    <w:pPr>
      <w:ind w:firstLine="420" w:firstLineChars="200"/>
    </w:pPr>
  </w:style>
  <w:style w:type="paragraph" w:customStyle="1" w:styleId="30">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cap="none" spc="0" normalizeH="0" baseline="0">
                <a:solidFill>
                  <a:schemeClr val="dk1">
                    <a:lumMod val="50000"/>
                    <a:lumOff val="50000"/>
                  </a:schemeClr>
                </a:solidFill>
                <a:latin typeface="+mj-lt"/>
                <a:ea typeface="+mj-ea"/>
                <a:cs typeface="+mj-cs"/>
              </a:defRPr>
            </a:pPr>
            <a:r>
              <a:rPr lang="zh-CN"/>
              <a:t>图</a:t>
            </a:r>
            <a:r>
              <a:rPr lang="en-US"/>
              <a:t>1</a:t>
            </a:r>
            <a:r>
              <a:rPr lang="zh-CN"/>
              <a:t>. 收、支决算总计变动情况</a:t>
            </a:r>
            <a:endParaRPr lang="zh-CN"/>
          </a:p>
        </c:rich>
      </c:tx>
      <c:layout>
        <c:manualLayout>
          <c:xMode val="edge"/>
          <c:yMode val="edge"/>
          <c:x val="0.171508500637998"/>
          <c:y val="0.0686274509803922"/>
        </c:manualLayout>
      </c:layout>
      <c:overlay val="0"/>
      <c:spPr>
        <a:noFill/>
        <a:ln>
          <a:noFill/>
        </a:ln>
        <a:effectLst/>
      </c:spPr>
    </c:title>
    <c:autoTitleDeleted val="0"/>
    <c:plotArea>
      <c:layout>
        <c:manualLayout>
          <c:layoutTarget val="inner"/>
          <c:xMode val="edge"/>
          <c:yMode val="edge"/>
          <c:x val="0.0240789790512882"/>
          <c:y val="0.231740775050178"/>
          <c:w val="0.947026246087166"/>
          <c:h val="0.520432684884975"/>
        </c:manualLayout>
      </c:layout>
      <c:barChart>
        <c:barDir val="col"/>
        <c:grouping val="clustered"/>
        <c:varyColors val="0"/>
        <c:ser>
          <c:idx val="0"/>
          <c:order val="0"/>
          <c:tx>
            <c:strRef>
              <c:f>Sheet1!$B$1</c:f>
              <c:strCache>
                <c:ptCount val="1"/>
                <c:pt idx="0">
                  <c:v>2020年度</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dk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收入总计</c:v>
                </c:pt>
                <c:pt idx="1">
                  <c:v>支出总计</c:v>
                </c:pt>
              </c:strCache>
            </c:strRef>
          </c:cat>
          <c:val>
            <c:numRef>
              <c:f>Sheet1!$B$2:$B$5</c:f>
              <c:numCache>
                <c:formatCode>General</c:formatCode>
                <c:ptCount val="4"/>
                <c:pt idx="0">
                  <c:v>111221.24</c:v>
                </c:pt>
                <c:pt idx="1">
                  <c:v>101715.7</c:v>
                </c:pt>
              </c:numCache>
            </c:numRef>
          </c:val>
        </c:ser>
        <c:ser>
          <c:idx val="1"/>
          <c:order val="1"/>
          <c:tx>
            <c:strRef>
              <c:f>Sheet1!$C$1</c:f>
              <c:strCache>
                <c:ptCount val="1"/>
                <c:pt idx="0">
                  <c:v>2021年度</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dk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收入总计</c:v>
                </c:pt>
                <c:pt idx="1">
                  <c:v>支出总计</c:v>
                </c:pt>
              </c:strCache>
            </c:strRef>
          </c:cat>
          <c:val>
            <c:numRef>
              <c:f>Sheet1!$C$2:$C$5</c:f>
              <c:numCache>
                <c:formatCode>General</c:formatCode>
                <c:ptCount val="4"/>
                <c:pt idx="0">
                  <c:v>111615.64</c:v>
                </c:pt>
                <c:pt idx="1">
                  <c:v>112429.95</c:v>
                </c:pt>
              </c:numCache>
            </c:numRef>
          </c:val>
        </c:ser>
        <c:dLbls>
          <c:showLegendKey val="0"/>
          <c:showVal val="1"/>
          <c:showCatName val="0"/>
          <c:showSerName val="0"/>
          <c:showPercent val="0"/>
          <c:showBubbleSize val="0"/>
        </c:dLbls>
        <c:gapWidth val="267"/>
        <c:overlap val="-43"/>
        <c:axId val="-133831824"/>
        <c:axId val="-133823664"/>
      </c:barChart>
      <c:catAx>
        <c:axId val="-13383182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p>
        </c:txPr>
        <c:crossAx val="-133823664"/>
        <c:crosses val="autoZero"/>
        <c:auto val="1"/>
        <c:lblAlgn val="ctr"/>
        <c:lblOffset val="100"/>
        <c:noMultiLvlLbl val="0"/>
      </c:catAx>
      <c:valAx>
        <c:axId val="-13382366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133831824"/>
        <c:crosses val="autoZero"/>
        <c:crossBetween val="between"/>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1" i="0" u="none" strike="noStrike" kern="1200" cap="all" spc="50" baseline="0">
                <a:solidFill>
                  <a:schemeClr val="tx1">
                    <a:lumMod val="65000"/>
                    <a:lumOff val="35000"/>
                  </a:schemeClr>
                </a:solidFill>
                <a:latin typeface="+mn-lt"/>
                <a:ea typeface="+mn-ea"/>
                <a:cs typeface="+mn-cs"/>
              </a:defRPr>
            </a:pPr>
            <a:r>
              <a:rPr lang="zh-CN"/>
              <a:t>图</a:t>
            </a:r>
            <a:r>
              <a:rPr lang="en-US"/>
              <a:t>2</a:t>
            </a:r>
            <a:r>
              <a:rPr lang="zh-CN"/>
              <a:t>：收入决算结构图</a:t>
            </a:r>
            <a:endParaRPr lang="zh-CN"/>
          </a:p>
        </c:rich>
      </c:tx>
      <c:layout>
        <c:manualLayout>
          <c:xMode val="edge"/>
          <c:yMode val="edge"/>
          <c:x val="0.299813318037232"/>
          <c:y val="0.00769230769230769"/>
        </c:manualLayout>
      </c:layout>
      <c:overlay val="0"/>
      <c:spPr>
        <a:noFill/>
        <a:ln>
          <a:noFill/>
        </a:ln>
        <a:effectLst/>
      </c:spPr>
    </c:title>
    <c:autoTitleDeleted val="0"/>
    <c:plotArea>
      <c:layout>
        <c:manualLayout>
          <c:layoutTarget val="inner"/>
          <c:xMode val="edge"/>
          <c:yMode val="edge"/>
          <c:x val="0.126710879984072"/>
          <c:y val="0.145641025641026"/>
          <c:w val="0.338591210114389"/>
          <c:h val="0.721025641025641"/>
        </c:manualLayout>
      </c:layout>
      <c:pieChart>
        <c:varyColors val="1"/>
        <c:ser>
          <c:idx val="0"/>
          <c:order val="0"/>
          <c:tx>
            <c:strRef>
              <c:f>Sheet1!$B$1</c:f>
              <c:strCache>
                <c:ptCount val="1"/>
                <c:pt idx="0">
                  <c:v>收入</c:v>
                </c:pt>
              </c:strCache>
            </c:strRef>
          </c:tx>
          <c:spPr/>
          <c:explosion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Lbls>
            <c:dLbl>
              <c:idx val="0"/>
              <c:layout/>
              <c:tx>
                <c:rich>
                  <a:bodyPr rot="0" spcFirstLastPara="1"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r>
                      <a:rPr lang="en-US" altLang="zh-CN" u="none" strike="noStrike" cap="none" normalizeH="0">
                        <a:solidFill>
                          <a:schemeClr val="tx1"/>
                        </a:solidFill>
                        <a:uFill>
                          <a:solidFill>
                            <a:schemeClr val="bg1"/>
                          </a:solidFill>
                        </a:uFill>
                      </a:rPr>
                      <a:t>3.14%</a:t>
                    </a:r>
                    <a:endParaRPr lang="en-US" altLang="zh-CN" u="none" strike="noStrike" cap="none" normalizeH="0">
                      <a:solidFill>
                        <a:schemeClr val="tx1"/>
                      </a:solidFill>
                      <a:uFill>
                        <a:solidFill>
                          <a:schemeClr val="bg1"/>
                        </a:solidFill>
                      </a:uFill>
                    </a:endParaRP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r>
                      <a:rPr lang="en-US" altLang="zh-CN" u="none" strike="noStrike" cap="none" normalizeH="0">
                        <a:solidFill>
                          <a:schemeClr val="tx1"/>
                        </a:solidFill>
                        <a:uFill>
                          <a:solidFill>
                            <a:schemeClr val="bg1"/>
                          </a:solidFill>
                        </a:uFill>
                      </a:rPr>
                      <a:t>0.41</a:t>
                    </a:r>
                    <a:r>
                      <a:rPr lang="en-US" u="none" strike="noStrike" cap="none" normalizeH="0">
                        <a:solidFill>
                          <a:schemeClr val="tx1"/>
                        </a:solidFill>
                        <a:uFill>
                          <a:solidFill>
                            <a:schemeClr val="bg1"/>
                          </a:solidFill>
                        </a:uFill>
                      </a:rPr>
                      <a:t>%</a:t>
                    </a:r>
                    <a:endParaRPr lang="en-US" u="none" strike="noStrike" cap="none" normalizeH="0">
                      <a:solidFill>
                        <a:schemeClr val="tx1"/>
                      </a:solidFill>
                      <a:uFill>
                        <a:solidFill>
                          <a:schemeClr val="bg1"/>
                        </a:solidFill>
                      </a:uFill>
                    </a:endParaRPr>
                  </a:p>
                </c:rich>
              </c:tx>
              <c:dLblPos val="inEnd"/>
              <c:showLegendKey val="0"/>
              <c:showVal val="0"/>
              <c:showCatName val="0"/>
              <c:showSerName val="0"/>
              <c:showPercent val="1"/>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r>
                      <a:rPr lang="en-US"/>
                      <a:t>96.45%</a:t>
                    </a:r>
                    <a:endParaRPr lang="en-US"/>
                  </a:p>
                </c:rich>
              </c:tx>
              <c:dLblPos val="inEnd"/>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事业收入</c:v>
                </c:pt>
                <c:pt idx="2">
                  <c:v>其他收入</c:v>
                </c:pt>
              </c:strCache>
            </c:strRef>
          </c:cat>
          <c:val>
            <c:numRef>
              <c:f>Sheet1!$B$2:$B$5</c:f>
              <c:numCache>
                <c:formatCode>General</c:formatCode>
                <c:ptCount val="4"/>
                <c:pt idx="0">
                  <c:v>3501.59</c:v>
                </c:pt>
                <c:pt idx="1">
                  <c:v>107658.65</c:v>
                </c:pt>
                <c:pt idx="2">
                  <c:v>455.4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egendEntry>
        <c:idx val="3"/>
        <c:delete val="1"/>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1" i="0" u="none" strike="noStrike" kern="1200" cap="all" spc="50" baseline="0">
                <a:solidFill>
                  <a:schemeClr val="tx1">
                    <a:lumMod val="65000"/>
                    <a:lumOff val="35000"/>
                  </a:schemeClr>
                </a:solidFill>
                <a:latin typeface="+mn-lt"/>
                <a:ea typeface="+mn-ea"/>
                <a:cs typeface="+mn-cs"/>
              </a:defRPr>
            </a:pPr>
            <a:r>
              <a:rPr lang="zh-CN"/>
              <a:t>图</a:t>
            </a:r>
            <a:r>
              <a:rPr lang="en-US"/>
              <a:t>3</a:t>
            </a:r>
            <a:r>
              <a:rPr lang="zh-CN"/>
              <a:t>：支出决算结构图</a:t>
            </a:r>
            <a:endParaRPr lang="zh-CN"/>
          </a:p>
        </c:rich>
      </c:tx>
      <c:layout>
        <c:manualLayout>
          <c:xMode val="edge"/>
          <c:yMode val="edge"/>
          <c:x val="0.264292547417122"/>
          <c:y val="0.0535475234270415"/>
        </c:manualLayout>
      </c:layout>
      <c:overlay val="0"/>
      <c:spPr>
        <a:noFill/>
        <a:ln>
          <a:noFill/>
        </a:ln>
        <a:effectLst/>
      </c:sp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Lbls>
            <c:dLbl>
              <c:idx val="0"/>
              <c:layout/>
              <c:tx>
                <c:rich>
                  <a:bodyPr rot="0" spcFirstLastPara="1"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r>
                      <a:rPr lang="en-US" altLang="zh-CN" sz="1200"/>
                      <a:t>97.71%</a:t>
                    </a:r>
                    <a:endParaRPr lang="en-US" altLang="zh-CN" sz="1200"/>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r>
                      <a:rPr lang="en-US" altLang="zh-CN"/>
                      <a:t>2.29%</a:t>
                    </a:r>
                    <a:endParaRPr lang="en-US" altLang="zh-CN"/>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109857.98</c:v>
                </c:pt>
                <c:pt idx="1">
                  <c:v>2571.97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cap="none" spc="0" normalizeH="0" baseline="0">
                <a:solidFill>
                  <a:schemeClr val="dk1">
                    <a:lumMod val="50000"/>
                    <a:lumOff val="50000"/>
                  </a:schemeClr>
                </a:solidFill>
                <a:latin typeface="+mj-lt"/>
                <a:ea typeface="+mj-ea"/>
                <a:cs typeface="+mj-cs"/>
              </a:defRPr>
            </a:pPr>
            <a:r>
              <a:rPr lang="zh-CN"/>
              <a:t>图</a:t>
            </a:r>
            <a:r>
              <a:rPr lang="en-US"/>
              <a:t>4</a:t>
            </a:r>
            <a:r>
              <a:rPr lang="zh-CN"/>
              <a:t>.财政拨款收、支决算总计变动情况</a:t>
            </a:r>
            <a:endParaRPr lang="zh-CN"/>
          </a:p>
        </c:rich>
      </c:tx>
      <c:layout/>
      <c:overlay val="0"/>
      <c:spPr>
        <a:noFill/>
        <a:ln>
          <a:noFill/>
        </a:ln>
        <a:effectLst/>
      </c:spPr>
    </c:title>
    <c:autoTitleDeleted val="0"/>
    <c:plotArea>
      <c:layout>
        <c:manualLayout>
          <c:layoutTarget val="inner"/>
          <c:xMode val="edge"/>
          <c:yMode val="edge"/>
          <c:x val="0.026486876956417"/>
          <c:y val="0.207598039215686"/>
          <c:w val="0.947026246087166"/>
          <c:h val="0.559166666666667"/>
        </c:manualLayout>
      </c:layout>
      <c:barChart>
        <c:barDir val="col"/>
        <c:grouping val="clustered"/>
        <c:varyColors val="0"/>
        <c:ser>
          <c:idx val="0"/>
          <c:order val="0"/>
          <c:tx>
            <c:strRef>
              <c:f>Sheet1!$B$1</c:f>
              <c:strCache>
                <c:ptCount val="1"/>
                <c:pt idx="0">
                  <c:v>2020年度</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dk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财政拨款收入</c:v>
                </c:pt>
                <c:pt idx="1">
                  <c:v>财政拨款支出</c:v>
                </c:pt>
              </c:strCache>
            </c:strRef>
          </c:cat>
          <c:val>
            <c:numRef>
              <c:f>Sheet1!$B$2:$B$5</c:f>
              <c:numCache>
                <c:formatCode>General</c:formatCode>
                <c:ptCount val="4"/>
                <c:pt idx="0">
                  <c:v>7055.45</c:v>
                </c:pt>
                <c:pt idx="1">
                  <c:v>6260.99</c:v>
                </c:pt>
              </c:numCache>
            </c:numRef>
          </c:val>
        </c:ser>
        <c:ser>
          <c:idx val="1"/>
          <c:order val="1"/>
          <c:tx>
            <c:strRef>
              <c:f>Sheet1!$C$1</c:f>
              <c:strCache>
                <c:ptCount val="1"/>
                <c:pt idx="0">
                  <c:v>2021年度</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dk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财政拨款收入</c:v>
                </c:pt>
                <c:pt idx="1">
                  <c:v>财政拨款支出</c:v>
                </c:pt>
              </c:strCache>
            </c:strRef>
          </c:cat>
          <c:val>
            <c:numRef>
              <c:f>Sheet1!$C$2:$C$5</c:f>
              <c:numCache>
                <c:formatCode>General</c:formatCode>
                <c:ptCount val="4"/>
                <c:pt idx="0">
                  <c:v>3501.59</c:v>
                </c:pt>
                <c:pt idx="1">
                  <c:v>3359.52</c:v>
                </c:pt>
              </c:numCache>
            </c:numRef>
          </c:val>
        </c:ser>
        <c:dLbls>
          <c:showLegendKey val="0"/>
          <c:showVal val="1"/>
          <c:showCatName val="0"/>
          <c:showSerName val="0"/>
          <c:showPercent val="0"/>
          <c:showBubbleSize val="0"/>
        </c:dLbls>
        <c:gapWidth val="267"/>
        <c:overlap val="-43"/>
        <c:axId val="-138210240"/>
        <c:axId val="-138204256"/>
      </c:barChart>
      <c:catAx>
        <c:axId val="-13821024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p>
        </c:txPr>
        <c:crossAx val="-138204256"/>
        <c:crosses val="autoZero"/>
        <c:auto val="1"/>
        <c:lblAlgn val="ctr"/>
        <c:lblOffset val="100"/>
        <c:noMultiLvlLbl val="0"/>
      </c:catAx>
      <c:valAx>
        <c:axId val="-13820425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138210240"/>
        <c:crosses val="autoZero"/>
        <c:crossBetween val="between"/>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cap="none" spc="0" normalizeH="0" baseline="0">
                <a:solidFill>
                  <a:schemeClr val="dk1">
                    <a:lumMod val="50000"/>
                    <a:lumOff val="50000"/>
                  </a:schemeClr>
                </a:solidFill>
                <a:latin typeface="+mj-lt"/>
                <a:ea typeface="+mj-ea"/>
                <a:cs typeface="+mj-cs"/>
              </a:defRPr>
            </a:pPr>
            <a:r>
              <a:rPr lang="zh-CN"/>
              <a:t>图</a:t>
            </a:r>
            <a:r>
              <a:rPr lang="en-US"/>
              <a:t>5</a:t>
            </a:r>
            <a:r>
              <a:rPr lang="zh-CN"/>
              <a:t>.一般公共预算财政拨款支出决算变动情况</a:t>
            </a:r>
            <a:endParaRPr 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2020年度</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dk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Sheet1!$A$2:$A$4</c:f>
              <c:strCache>
                <c:ptCount val="3"/>
                <c:pt idx="0">
                  <c:v>一般公共预算财政拨款支出</c:v>
                </c:pt>
              </c:strCache>
            </c:strRef>
          </c:cat>
          <c:val>
            <c:numRef>
              <c:f>Sheet1!$B$2:$B$4</c:f>
              <c:numCache>
                <c:formatCode>General</c:formatCode>
                <c:ptCount val="3"/>
                <c:pt idx="0">
                  <c:v>2543.52</c:v>
                </c:pt>
              </c:numCache>
            </c:numRef>
          </c:val>
        </c:ser>
        <c:ser>
          <c:idx val="1"/>
          <c:order val="1"/>
          <c:tx>
            <c:strRef>
              <c:f>Sheet1!$C$1</c:f>
              <c:strCache>
                <c:ptCount val="1"/>
                <c:pt idx="0">
                  <c:v>2021年度</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dk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Sheet1!$A$2:$A$4</c:f>
              <c:strCache>
                <c:ptCount val="3"/>
                <c:pt idx="0">
                  <c:v>一般公共预算财政拨款支出</c:v>
                </c:pt>
              </c:strCache>
            </c:strRef>
          </c:cat>
          <c:val>
            <c:numRef>
              <c:f>Sheet1!$C$2:$C$4</c:f>
              <c:numCache>
                <c:formatCode>General</c:formatCode>
                <c:ptCount val="3"/>
                <c:pt idx="0">
                  <c:v>3245.04</c:v>
                </c:pt>
              </c:numCache>
            </c:numRef>
          </c:val>
        </c:ser>
        <c:dLbls>
          <c:showLegendKey val="0"/>
          <c:showVal val="1"/>
          <c:showCatName val="0"/>
          <c:showSerName val="0"/>
          <c:showPercent val="0"/>
          <c:showBubbleSize val="0"/>
        </c:dLbls>
        <c:gapWidth val="267"/>
        <c:overlap val="-43"/>
        <c:axId val="-138215680"/>
        <c:axId val="-138205888"/>
      </c:barChart>
      <c:catAx>
        <c:axId val="-13821568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p>
        </c:txPr>
        <c:crossAx val="-138205888"/>
        <c:crosses val="autoZero"/>
        <c:auto val="1"/>
        <c:lblAlgn val="ctr"/>
        <c:lblOffset val="100"/>
        <c:noMultiLvlLbl val="0"/>
      </c:catAx>
      <c:valAx>
        <c:axId val="-13820588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138215680"/>
        <c:crosses val="autoZero"/>
        <c:crossBetween val="between"/>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1" i="0" u="none" strike="noStrike" kern="1200" cap="all" spc="50" baseline="0">
                <a:solidFill>
                  <a:schemeClr val="tx1">
                    <a:lumMod val="65000"/>
                    <a:lumOff val="35000"/>
                  </a:schemeClr>
                </a:solidFill>
                <a:latin typeface="+mn-lt"/>
                <a:ea typeface="+mn-ea"/>
                <a:cs typeface="+mn-cs"/>
              </a:defRPr>
            </a:pPr>
            <a:r>
              <a:rPr lang="zh-CN"/>
              <a:t>图</a:t>
            </a:r>
            <a:r>
              <a:rPr lang="en-US"/>
              <a:t>6</a:t>
            </a:r>
            <a:r>
              <a:rPr lang="zh-CN"/>
              <a:t>.一般公共预算财政拨款支出决算结构</a:t>
            </a:r>
            <a:endParaRPr lang="zh-CN"/>
          </a:p>
        </c:rich>
      </c:tx>
      <c:layout>
        <c:manualLayout>
          <c:xMode val="edge"/>
          <c:yMode val="edge"/>
          <c:x val="0.102540638169777"/>
          <c:y val="0.0585227406275708"/>
        </c:manualLayout>
      </c:layout>
      <c:overlay val="0"/>
      <c:spPr>
        <a:noFill/>
        <a:ln>
          <a:noFill/>
        </a:ln>
        <a:effectLst/>
      </c:sp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Lbls>
            <c:dLbl>
              <c:idx val="0"/>
              <c:layout>
                <c:manualLayout>
                  <c:x val="-0.0440162708070499"/>
                  <c:y val="0.100671430799772"/>
                </c:manualLayout>
              </c:layout>
              <c:tx>
                <c:rich>
                  <a:bodyPr rot="0" spcFirstLastPara="1"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r>
                      <a:rPr lang="en-US" altLang="zh-CN"/>
                      <a:t>0.03%</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0374157913516472"/>
                  <c:y val="0.0912439848671913"/>
                </c:manualLayout>
              </c:layout>
              <c:tx>
                <c:rich>
                  <a:bodyPr rot="0" spcFirstLastPara="1"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r>
                      <a:rPr lang="en-US" altLang="zh-CN"/>
                      <a:t>3.42%</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rot="0" spcFirstLastPara="1"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r>
                      <a:rPr lang="en-US" altLang="zh-CN" sz="1200">
                        <a:solidFill>
                          <a:schemeClr val="tx1"/>
                        </a:solidFill>
                        <a:uFillTx/>
                      </a:rPr>
                      <a:t>96.55%</a:t>
                    </a:r>
                    <a:endParaRPr lang="en-US" altLang="zh-CN" sz="1200">
                      <a:solidFill>
                        <a:schemeClr val="tx1"/>
                      </a:solidFill>
                      <a:uFillTx/>
                    </a:endParaRP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科学技术支出</c:v>
                </c:pt>
                <c:pt idx="1">
                  <c:v>社会保障和就业支出</c:v>
                </c:pt>
                <c:pt idx="2">
                  <c:v>卫生健康支出</c:v>
                </c:pt>
              </c:strCache>
            </c:strRef>
          </c:cat>
          <c:val>
            <c:numRef>
              <c:f>Sheet1!$B$2:$B$4</c:f>
              <c:numCache>
                <c:formatCode>General</c:formatCode>
                <c:ptCount val="3"/>
                <c:pt idx="0">
                  <c:v>110.9915</c:v>
                </c:pt>
                <c:pt idx="1">
                  <c:v>0.924</c:v>
                </c:pt>
                <c:pt idx="2">
                  <c:v>3133.12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7E27D-C511-434F-B8D6-89508108E54E}">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30</Pages>
  <Words>10113</Words>
  <Characters>11044</Characters>
  <Lines>89</Lines>
  <Paragraphs>25</Paragraphs>
  <TotalTime>34</TotalTime>
  <ScaleCrop>false</ScaleCrop>
  <LinksUpToDate>false</LinksUpToDate>
  <CharactersWithSpaces>11131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炫YXL</cp:lastModifiedBy>
  <cp:lastPrinted>2022-08-04T07:43:00Z</cp:lastPrinted>
  <dcterms:modified xsi:type="dcterms:W3CDTF">2022-08-08T02:49:47Z</dcterms:modified>
  <dc:title>四川省***</dc:title>
  <cp:revision>279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D16986CCA58444D694B8B9A75A3594F5</vt:lpwstr>
  </property>
</Properties>
</file>