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广安市人民医院污水处理消毒药剂次氯酸钠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采购</w:t>
      </w:r>
      <w:r>
        <w:rPr>
          <w:rFonts w:hint="eastAsia"/>
          <w:b/>
          <w:sz w:val="32"/>
          <w:szCs w:val="32"/>
        </w:rPr>
        <w:t>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158" w:right="141" w:firstLine="562" w:firstLineChars="200"/>
        <w:textAlignment w:val="auto"/>
        <w:rPr>
          <w:rFonts w:asciiTheme="majorEastAsia" w:hAnsiTheme="majorEastAsia" w:eastAsia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一、项目概述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Chars="72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本项目为：广安人民医院污水处理消毒药剂次氯酸钠供应服务采购项目。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供应商资质、技术、服务要求：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▲（一）资质要求：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asciiTheme="majorEastAsia" w:hAnsiTheme="majorEastAsia" w:eastAsiaTheme="majorEastAsia"/>
          <w:color w:val="auto"/>
          <w:sz w:val="28"/>
          <w:szCs w:val="28"/>
        </w:rPr>
        <w:t>（1）</w:t>
      </w:r>
      <w:r>
        <w:rPr>
          <w:rFonts w:hint="eastAsia"/>
          <w:color w:val="auto"/>
          <w:sz w:val="28"/>
          <w:szCs w:val="28"/>
        </w:rPr>
        <w:t>证照齐全（营业执照、税务登记证、组织机构代码证等相关证件），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投标单位经营范围必须包括：与本次招标内容相关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（包含次氯酸钠）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生产或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经营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asciiTheme="majorEastAsia" w:hAnsiTheme="majorEastAsia" w:eastAsiaTheme="majorEastAsia"/>
          <w:color w:val="auto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）法定代表人为同一人的两个及两个以上法人，母公司、全资子公司及其控股公司不得在同一项目招标中同时投标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（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）</w:t>
      </w:r>
      <w:r>
        <w:rPr>
          <w:rFonts w:cs="Times New Roman" w:asciiTheme="majorEastAsia" w:hAnsiTheme="majorEastAsia" w:eastAsiaTheme="majorEastAsia"/>
          <w:color w:val="auto"/>
          <w:sz w:val="28"/>
          <w:szCs w:val="28"/>
        </w:rPr>
        <w:t>提供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(201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年至202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年)不少于两家本项目三甲医院次氯酸钠业绩证明。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以上资质证明材料需加盖鲜章。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次氯酸钠消毒应符合国家强制标准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（GB19106-2013-次氯酸钠A型</w:t>
      </w:r>
      <w:r>
        <w:rPr>
          <w:rFonts w:asciiTheme="majorEastAsia" w:hAnsiTheme="majorEastAsia" w:eastAsiaTheme="majorEastAsia"/>
          <w:spacing w:val="-8"/>
          <w:sz w:val="28"/>
          <w:szCs w:val="28"/>
        </w:rPr>
        <w:t>II</w:t>
      </w:r>
      <w:r>
        <w:rPr>
          <w:rFonts w:hint="eastAsia" w:asciiTheme="majorEastAsia" w:hAnsiTheme="majorEastAsia" w:eastAsiaTheme="majorEastAsia"/>
          <w:b/>
          <w:bCs/>
          <w:spacing w:val="-8"/>
          <w:sz w:val="28"/>
          <w:szCs w:val="28"/>
        </w:rPr>
        <w:t>标准）</w:t>
      </w:r>
      <w:r>
        <w:rPr>
          <w:rFonts w:hint="eastAsia" w:asciiTheme="majorEastAsia" w:hAnsiTheme="majorEastAsia" w:eastAsiaTheme="majorEastAsia"/>
          <w:spacing w:val="-8"/>
          <w:sz w:val="28"/>
          <w:szCs w:val="28"/>
        </w:rPr>
        <w:t xml:space="preserve">（如有 </w:t>
      </w:r>
      <w:r>
        <w:rPr>
          <w:rFonts w:hint="eastAsia" w:asciiTheme="majorEastAsia" w:hAnsiTheme="majorEastAsia" w:eastAsiaTheme="majorEastAsia"/>
          <w:sz w:val="28"/>
          <w:szCs w:val="28"/>
        </w:rPr>
        <w:t>最新标准按最新标准执行）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▲有效氯含量（以cl计）w/％≥10，到货合格率100%； 游离碱含量（以NaOH计）w/％:0.1-1.0；铁含量（以Fe计）w/％≤0.005； 重金属（以Pb计）w/％≤0.001； 砷（以AS计）w/％≤0.0001；外观浅黄色清澈透明液体，无可见杂质，无分层沉淀。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（三）质量要求：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▲1、供应商提供的货物必须符合国家有关质量标准或规范。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▲2、包装后的消毒剂，在符合储运、贮存要求的条件下，自生产之日起，有效期不得低于6个月。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(四）供应要求： </w:t>
      </w:r>
      <w:r>
        <w:rPr>
          <w:rFonts w:hint="eastAsia" w:asciiTheme="majorEastAsia" w:hAnsiTheme="majorEastAsia" w:eastAsiaTheme="majorEastAsia"/>
          <w:spacing w:val="-2"/>
          <w:sz w:val="28"/>
          <w:szCs w:val="28"/>
        </w:rPr>
        <w:t>供应商应确保货物在配送过程中无安全事故发生，若出现安全事故其责任和损失由</w:t>
      </w:r>
      <w:r>
        <w:rPr>
          <w:rFonts w:hint="eastAsia" w:asciiTheme="majorEastAsia" w:hAnsiTheme="majorEastAsia" w:eastAsiaTheme="majorEastAsia"/>
          <w:sz w:val="28"/>
          <w:szCs w:val="28"/>
        </w:rPr>
        <w:t>供应商自行承担。供应商针对本项要求提供加盖鲜章的承诺函原件。（实质性要求）</w:t>
      </w:r>
      <w:r>
        <w:rPr>
          <w:rFonts w:hint="eastAsia" w:asciiTheme="majorEastAsia" w:hAnsiTheme="majorEastAsia" w:eastAsiaTheme="majorEastAsia"/>
          <w:spacing w:val="-5"/>
          <w:sz w:val="28"/>
          <w:szCs w:val="28"/>
        </w:rPr>
        <w:t xml:space="preserve">供应商应按采购人实际需求用量分批次供应，并确保运输、存储、使用等环节安全。 </w:t>
      </w:r>
      <w:r>
        <w:rPr>
          <w:rFonts w:hint="eastAsia" w:asciiTheme="majorEastAsia" w:hAnsiTheme="majorEastAsia" w:eastAsiaTheme="majorEastAsia"/>
          <w:sz w:val="28"/>
          <w:szCs w:val="28"/>
        </w:rPr>
        <w:t>若有紧急供应需求，供应商需在 2 小时内响应。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37" w:firstLine="532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-7"/>
          <w:sz w:val="28"/>
          <w:szCs w:val="28"/>
        </w:rPr>
        <w:t>▲分批次供应时，采购人有权现场抽样后委托有资质的第三检测机构检测（每年≥4</w:t>
      </w:r>
      <w:r>
        <w:rPr>
          <w:rFonts w:hint="eastAsia" w:asciiTheme="majorEastAsia" w:hAnsiTheme="majorEastAsia" w:eastAsiaTheme="majorEastAsia"/>
          <w:spacing w:val="-39"/>
          <w:sz w:val="28"/>
          <w:szCs w:val="28"/>
        </w:rPr>
        <w:t>次），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费用由供应商支付；采购人有权自主决定临时不定期增加抽检次数，如检测合格由采购人自行支付费用，若不合格则由供应商支付并按相关违约条款处理。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257" w:firstLine="562" w:firstLineChars="200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三、商务、售后及其他服务要求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257" w:firstLine="544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1、报价要求：该项目为单价采购，最高限价要求为：1550</w:t>
      </w:r>
      <w:r>
        <w:rPr>
          <w:rFonts w:hint="eastAsia" w:ascii="宋体" w:hAnsi="宋体" w:eastAsia="宋体" w:cs="宋体"/>
          <w:sz w:val="28"/>
          <w:szCs w:val="28"/>
        </w:rPr>
        <w:t>元/吨。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预计年使用量160吨，年预算总价24.8万元，招标期限为1年。</w:t>
      </w:r>
      <w:r>
        <w:rPr>
          <w:rFonts w:hint="eastAsia" w:ascii="宋体" w:hAnsi="宋体" w:eastAsia="宋体" w:cs="宋体"/>
          <w:sz w:val="28"/>
          <w:szCs w:val="28"/>
        </w:rPr>
        <w:t>投标报价不得超过最高限价单价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以实际中标单价进行结算；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257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2、本项目投标报价须包括但不限于：成本、运输、仓储、包装、装卸费、抽样检</w:t>
      </w:r>
      <w:r>
        <w:rPr>
          <w:rFonts w:hint="eastAsia" w:asciiTheme="majorEastAsia" w:hAnsiTheme="majorEastAsia" w:eastAsiaTheme="majorEastAsia"/>
          <w:spacing w:val="-2"/>
          <w:sz w:val="28"/>
          <w:szCs w:val="28"/>
        </w:rPr>
        <w:t>测、利润、税金、可能涉及的专利技术及专利权费用、代理服务费、政策性文件规定及合同包含的所有风险、责任等一切费用，并包括各项费用和价格的涨价风险等，应计未</w:t>
      </w:r>
      <w:r>
        <w:rPr>
          <w:rFonts w:hint="eastAsia" w:asciiTheme="majorEastAsia" w:hAnsiTheme="majorEastAsia" w:eastAsiaTheme="majorEastAsia"/>
          <w:sz w:val="28"/>
          <w:szCs w:val="28"/>
        </w:rPr>
        <w:t>计部分视为全部计入。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9" w:firstLine="560" w:firstLineChars="200"/>
        <w:textAlignment w:val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3、服务期限：服务期限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年；根据“财政部关于推进和完善服务项目政府采购有关问题的通知”（财库[2014]37 号）第三条第三款.....采购需求具有对相对固定性、 延续性且价格变化幅度小的服务项目，在年度预算能保障的前提下，采购人可以签订不超过三年履行期限的政府采购合同。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医院有权每季度对供货公司满意度进行测评，若连续2次满意度 80%以下，采购人有权终止合同，并依法重新组织采购。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44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-4"/>
          <w:sz w:val="28"/>
          <w:szCs w:val="28"/>
        </w:rPr>
        <w:t>4、交货时间：接到常规订货通知后</w:t>
      </w:r>
      <w:r>
        <w:rPr>
          <w:rFonts w:hint="eastAsia" w:asciiTheme="majorEastAsia" w:hAnsiTheme="majorEastAsia" w:eastAsiaTheme="majorEastAsia"/>
          <w:sz w:val="28"/>
          <w:szCs w:val="28"/>
        </w:rPr>
        <w:t>48小时内送货到采购人污水处理站或指定地点（若有紧急供应需求，供应商需在 8 小时内完成供应）。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5、付款方式：按采购人要求分批供货，以实际发生数量为准，产品交货验收合格</w:t>
      </w:r>
      <w:r>
        <w:rPr>
          <w:rFonts w:hint="eastAsia" w:asciiTheme="majorEastAsia" w:hAnsiTheme="majorEastAsia" w:eastAsiaTheme="majorEastAsia"/>
          <w:spacing w:val="-2"/>
          <w:sz w:val="28"/>
          <w:szCs w:val="28"/>
        </w:rPr>
        <w:t>并办理入库手续后，甲方凭乙方开具的随货清单、有效税务发票和甲方产品入库单，按</w:t>
      </w:r>
      <w:r>
        <w:rPr>
          <w:rFonts w:hint="eastAsia" w:asciiTheme="majorEastAsia" w:hAnsiTheme="majorEastAsia" w:eastAsiaTheme="majorEastAsia"/>
          <w:sz w:val="28"/>
          <w:szCs w:val="28"/>
        </w:rPr>
        <w:t>照医院财务规定统一货款结算。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6、售后服务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▲若第一次出现到货验收不合格的情况，中标供应商须无条件退货并于 48小时内免费更换，并赔付该批次氯酸钠总价的10%的违约金；若第二次出现到货验收不合格的</w:t>
      </w:r>
      <w:r>
        <w:rPr>
          <w:rFonts w:hint="eastAsia" w:asciiTheme="majorEastAsia" w:hAnsiTheme="majorEastAsia" w:eastAsiaTheme="majorEastAsia"/>
          <w:spacing w:val="-2"/>
          <w:sz w:val="28"/>
          <w:szCs w:val="28"/>
        </w:rPr>
        <w:t>情况，采购人有权拒绝付款和解除合同，中标供应商赔偿因此导致的损失，采购人还将</w:t>
      </w:r>
      <w:r>
        <w:rPr>
          <w:rFonts w:hint="eastAsia" w:asciiTheme="majorEastAsia" w:hAnsiTheme="majorEastAsia" w:eastAsiaTheme="majorEastAsia"/>
          <w:sz w:val="28"/>
          <w:szCs w:val="28"/>
        </w:rPr>
        <w:t>相关情况上报卫生主管部门和环保主管部门。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7、验收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141" w:firstLine="280" w:firstLineChars="1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7.1随车出具次氯酸钠出厂合格证和检验报告，并接受院方抽检。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38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7.2 其他未尽事宜应严格按照四川省财政厅《四川省政府采购项目需求论证和履约</w:t>
      </w:r>
      <w:r>
        <w:rPr>
          <w:rFonts w:hint="eastAsia" w:asciiTheme="majorEastAsia" w:hAnsiTheme="majorEastAsia" w:eastAsiaTheme="majorEastAsia"/>
          <w:spacing w:val="-10"/>
          <w:sz w:val="28"/>
          <w:szCs w:val="28"/>
        </w:rPr>
        <w:t>验收管理办法》（川财采〔2015〕32</w:t>
      </w:r>
      <w:r>
        <w:rPr>
          <w:rFonts w:hint="eastAsia" w:asciiTheme="majorEastAsia" w:hAnsiTheme="majorEastAsia" w:eastAsiaTheme="majorEastAsia"/>
          <w:sz w:val="28"/>
          <w:szCs w:val="28"/>
        </w:rPr>
        <w:t>号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的通知要求以及行业部门的技术要求统一验收。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8、其他要求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41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8.1 供应商须遵守采购合同并执行合同中各项规定，保证采购合同的正常履行。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256"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8.2如因中标商工作人员在履职过程中的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疏忽、失职、过错等故意或者过失原</w:t>
      </w:r>
      <w:r>
        <w:rPr>
          <w:rFonts w:hint="eastAsia" w:asciiTheme="majorEastAsia" w:hAnsiTheme="majorEastAsia" w:eastAsiaTheme="majorEastAsia"/>
          <w:color w:val="auto"/>
          <w:spacing w:val="-2"/>
          <w:sz w:val="28"/>
          <w:szCs w:val="28"/>
        </w:rPr>
        <w:t>因给采购人造成损失或侵害，以及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未按规定时间配送、质量原因造成</w:t>
      </w:r>
      <w:r>
        <w:rPr>
          <w:rFonts w:hint="eastAsia" w:asciiTheme="majorEastAsia" w:hAnsiTheme="majorEastAsia" w:eastAsiaTheme="majorEastAsia"/>
          <w:color w:val="auto"/>
          <w:spacing w:val="-2"/>
          <w:sz w:val="28"/>
          <w:szCs w:val="28"/>
        </w:rPr>
        <w:t>包括但不限于采购人</w:t>
      </w:r>
      <w:r>
        <w:rPr>
          <w:rFonts w:hint="eastAsia" w:asciiTheme="majorEastAsia" w:hAnsiTheme="majorEastAsia" w:eastAsiaTheme="majorEastAsia"/>
          <w:spacing w:val="-2"/>
          <w:sz w:val="28"/>
          <w:szCs w:val="28"/>
        </w:rPr>
        <w:t>本身的财产损失、由此而导致的采购</w:t>
      </w:r>
      <w:r>
        <w:rPr>
          <w:rFonts w:hint="eastAsia" w:asciiTheme="majorEastAsia" w:hAnsiTheme="majorEastAsia" w:eastAsiaTheme="majorEastAsia"/>
          <w:sz w:val="28"/>
          <w:szCs w:val="28"/>
        </w:rPr>
        <w:t>人对任何第三方、行政处罚等的法律及经济处罚责任等，供应商对此均应承担全部的赔偿责任。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right="256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注：</w:t>
      </w:r>
      <w:r>
        <w:rPr>
          <w:rFonts w:hint="eastAsia" w:asciiTheme="majorEastAsia" w:hAnsiTheme="majorEastAsia" w:eastAsiaTheme="majorEastAsia"/>
          <w:sz w:val="28"/>
          <w:szCs w:val="28"/>
        </w:rPr>
        <w:t>▲项为实质性要求。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right="137"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E3BF1"/>
    <w:multiLevelType w:val="singleLevel"/>
    <w:tmpl w:val="49CE3B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NmRjMzMxZWQ4ZDU5Zjc5NDJjNjQxNWVlY2Q2YWYifQ=="/>
  </w:docVars>
  <w:rsids>
    <w:rsidRoot w:val="00D34B82"/>
    <w:rsid w:val="0001087B"/>
    <w:rsid w:val="001240CA"/>
    <w:rsid w:val="00241399"/>
    <w:rsid w:val="0028229C"/>
    <w:rsid w:val="002D63DB"/>
    <w:rsid w:val="003230EF"/>
    <w:rsid w:val="003C3944"/>
    <w:rsid w:val="003C55B7"/>
    <w:rsid w:val="00722936"/>
    <w:rsid w:val="007327E9"/>
    <w:rsid w:val="0085414F"/>
    <w:rsid w:val="009963C9"/>
    <w:rsid w:val="00A11705"/>
    <w:rsid w:val="00A66F45"/>
    <w:rsid w:val="00A92027"/>
    <w:rsid w:val="00B244A9"/>
    <w:rsid w:val="00B93D3A"/>
    <w:rsid w:val="00BB539B"/>
    <w:rsid w:val="00C5783D"/>
    <w:rsid w:val="00CB58A1"/>
    <w:rsid w:val="00D30BF1"/>
    <w:rsid w:val="00D34B82"/>
    <w:rsid w:val="00D827BA"/>
    <w:rsid w:val="00E663C7"/>
    <w:rsid w:val="045B08DB"/>
    <w:rsid w:val="0B1A328E"/>
    <w:rsid w:val="0CE710DF"/>
    <w:rsid w:val="0F2B4FAF"/>
    <w:rsid w:val="15BD3FB0"/>
    <w:rsid w:val="15D377B7"/>
    <w:rsid w:val="26320878"/>
    <w:rsid w:val="286F1277"/>
    <w:rsid w:val="335458F3"/>
    <w:rsid w:val="3CCF40AD"/>
    <w:rsid w:val="44CE6E46"/>
    <w:rsid w:val="50397538"/>
    <w:rsid w:val="609548A2"/>
    <w:rsid w:val="61071886"/>
    <w:rsid w:val="66954B98"/>
    <w:rsid w:val="68E074B0"/>
    <w:rsid w:val="6925730D"/>
    <w:rsid w:val="6AD82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5"/>
    <w:basedOn w:val="1"/>
    <w:next w:val="1"/>
    <w:link w:val="11"/>
    <w:qFormat/>
    <w:uiPriority w:val="99"/>
    <w:pPr>
      <w:ind w:left="641"/>
      <w:outlineLvl w:val="4"/>
    </w:pPr>
    <w:rPr>
      <w:rFonts w:ascii="宋体" w:hAnsi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"/>
    <w:basedOn w:val="1"/>
    <w:link w:val="12"/>
    <w:unhideWhenUsed/>
    <w:qFormat/>
    <w:uiPriority w:val="99"/>
    <w:pPr>
      <w:ind w:left="158"/>
    </w:pPr>
    <w:rPr>
      <w:rFonts w:ascii="宋体" w:hAnsi="宋体"/>
      <w:sz w:val="24"/>
      <w:szCs w:val="24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afterAutospacing="1"/>
    </w:pPr>
    <w:rPr>
      <w:sz w:val="24"/>
    </w:rPr>
  </w:style>
  <w:style w:type="character" w:customStyle="1" w:styleId="10">
    <w:name w:val="标题 2 Char"/>
    <w:basedOn w:val="9"/>
    <w:link w:val="3"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1">
    <w:name w:val="标题 5 Char"/>
    <w:basedOn w:val="9"/>
    <w:link w:val="4"/>
    <w:qFormat/>
    <w:uiPriority w:val="99"/>
    <w:rPr>
      <w:rFonts w:ascii="宋体" w:hAnsi="宋体" w:eastAsia="宋体" w:cs="Times New Roman"/>
      <w:b/>
      <w:bCs/>
      <w:kern w:val="0"/>
      <w:sz w:val="24"/>
      <w:szCs w:val="24"/>
    </w:rPr>
  </w:style>
  <w:style w:type="character" w:customStyle="1" w:styleId="12">
    <w:name w:val="正文文本 Char"/>
    <w:basedOn w:val="9"/>
    <w:link w:val="5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1694</Words>
  <Characters>1787</Characters>
  <Lines>13</Lines>
  <Paragraphs>3</Paragraphs>
  <TotalTime>12</TotalTime>
  <ScaleCrop>false</ScaleCrop>
  <LinksUpToDate>false</LinksUpToDate>
  <CharactersWithSpaces>1816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2021-06-17T08:50:00Z</dcterms:created>
  <dc:creator>Lenovo</dc:creator>
  <cp:lastModifiedBy>Administrator</cp:lastModifiedBy>
  <cp:lastPrinted>2022-07-26T06:56:18Z</cp:lastPrinted>
  <dcterms:modified xsi:type="dcterms:W3CDTF">2022-07-26T06:58:59Z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F8F38FF1BEAC482A8254B6E5C1144558</vt:lpwstr>
  </property>
</Properties>
</file>