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auto"/>
          <w:sz w:val="44"/>
          <w:szCs w:val="44"/>
        </w:rPr>
      </w:pPr>
      <w:bookmarkStart w:id="0" w:name="_Toc150831002"/>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lang w:eastAsia="zh-CN"/>
        </w:rPr>
        <w:t>产科倒置显微镜</w:t>
      </w:r>
      <w:r>
        <w:rPr>
          <w:rFonts w:hint="eastAsia" w:ascii="华文中宋" w:hAnsi="华文中宋" w:eastAsia="华文中宋"/>
          <w:b/>
          <w:color w:val="auto"/>
          <w:sz w:val="44"/>
          <w:szCs w:val="44"/>
        </w:rPr>
        <w:t>采购项目</w:t>
      </w: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谈判采购文件</w:t>
      </w: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rPr>
        <w:t>3030</w:t>
      </w:r>
      <w:r>
        <w:rPr>
          <w:rFonts w:hint="eastAsia" w:ascii="华文中宋" w:hAnsi="华文中宋" w:eastAsia="华文中宋" w:cs="Tahoma"/>
          <w:b/>
          <w:color w:val="auto"/>
          <w:sz w:val="32"/>
          <w:szCs w:val="32"/>
          <w:shd w:val="clear" w:color="auto" w:fill="FFFFFF"/>
          <w:lang w:val="en-US" w:eastAsia="zh-CN"/>
        </w:rPr>
        <w:t>8</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01</w:t>
      </w:r>
    </w:p>
    <w:p>
      <w:pPr>
        <w:rPr>
          <w:rFonts w:ascii="华文中宋" w:hAnsi="华文中宋" w:eastAsia="华文中宋"/>
          <w:b/>
          <w:color w:val="auto"/>
          <w:sz w:val="72"/>
          <w:szCs w:val="72"/>
        </w:rPr>
      </w:pP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rPr>
        <w:t>3年03月</w:t>
      </w:r>
    </w:p>
    <w:p>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目录</w:t>
      </w:r>
    </w:p>
    <w:p>
      <w:pPr>
        <w:pStyle w:val="30"/>
        <w:tabs>
          <w:tab w:val="right" w:leader="dot" w:pos="9638"/>
        </w:tabs>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"_Toc16908" </w:instrText>
      </w:r>
      <w:r>
        <w:rPr>
          <w:color w:val="auto"/>
        </w:rPr>
        <w:fldChar w:fldCharType="separate"/>
      </w:r>
      <w:r>
        <w:rPr>
          <w:rFonts w:hint="eastAsia" w:ascii="宋体" w:hAnsi="宋体" w:cs="宋体"/>
          <w:color w:val="auto"/>
          <w:sz w:val="32"/>
          <w:szCs w:val="32"/>
        </w:rPr>
        <w:t>第一章  采购公告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_Toc16908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"_Toc20807" </w:instrText>
      </w:r>
      <w:r>
        <w:rPr>
          <w:color w:val="auto"/>
        </w:rPr>
        <w:fldChar w:fldCharType="separate"/>
      </w:r>
      <w:r>
        <w:rPr>
          <w:rFonts w:hint="eastAsia" w:ascii="宋体" w:hAnsi="宋体" w:cs="宋体"/>
          <w:color w:val="auto"/>
          <w:sz w:val="32"/>
          <w:szCs w:val="32"/>
        </w:rPr>
        <w:t>第二章  采购须知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_Toc20807 \h </w:instrText>
      </w:r>
      <w:r>
        <w:rPr>
          <w:rFonts w:hint="eastAsia" w:ascii="宋体" w:hAnsi="宋体" w:cs="宋体"/>
          <w:color w:val="auto"/>
          <w:sz w:val="32"/>
          <w:szCs w:val="32"/>
        </w:rPr>
        <w:fldChar w:fldCharType="separate"/>
      </w:r>
      <w:r>
        <w:rPr>
          <w:rFonts w:hint="eastAsia" w:ascii="宋体" w:hAnsi="宋体" w:cs="宋体"/>
          <w:color w:val="auto"/>
          <w:sz w:val="32"/>
          <w:szCs w:val="32"/>
        </w:rPr>
        <w:t>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"_Toc17939" </w:instrText>
      </w:r>
      <w:r>
        <w:rPr>
          <w:color w:val="auto"/>
        </w:rPr>
        <w:fldChar w:fldCharType="separate"/>
      </w:r>
      <w:r>
        <w:rPr>
          <w:rFonts w:hint="eastAsia" w:ascii="宋体" w:hAnsi="宋体" w:cs="宋体"/>
          <w:color w:val="auto"/>
          <w:sz w:val="32"/>
          <w:szCs w:val="32"/>
        </w:rPr>
        <w:t>第三章  采购申请文件格式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_Toc17939 \h </w:instrText>
      </w:r>
      <w:r>
        <w:rPr>
          <w:rFonts w:hint="eastAsia" w:ascii="宋体" w:hAnsi="宋体" w:cs="宋体"/>
          <w:color w:val="auto"/>
          <w:sz w:val="32"/>
          <w:szCs w:val="32"/>
        </w:rPr>
        <w:fldChar w:fldCharType="separate"/>
      </w:r>
      <w:r>
        <w:rPr>
          <w:rFonts w:hint="eastAsia" w:ascii="宋体" w:hAnsi="宋体" w:cs="宋体"/>
          <w:color w:val="auto"/>
          <w:sz w:val="32"/>
          <w:szCs w:val="32"/>
        </w:rPr>
        <w:t>16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"_Toc26086" </w:instrText>
      </w:r>
      <w:r>
        <w:rPr>
          <w:color w:val="auto"/>
        </w:rPr>
        <w:fldChar w:fldCharType="separate"/>
      </w:r>
      <w:r>
        <w:rPr>
          <w:rFonts w:hint="eastAsia" w:ascii="宋体" w:hAnsi="宋体" w:cs="宋体"/>
          <w:color w:val="auto"/>
          <w:sz w:val="32"/>
          <w:szCs w:val="32"/>
        </w:rPr>
        <w:t>第四章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_Toc26086 \h </w:instrText>
      </w:r>
      <w:r>
        <w:rPr>
          <w:rFonts w:hint="eastAsia" w:ascii="宋体" w:hAnsi="宋体" w:cs="宋体"/>
          <w:color w:val="auto"/>
          <w:sz w:val="32"/>
          <w:szCs w:val="32"/>
        </w:rPr>
        <w:fldChar w:fldCharType="separate"/>
      </w:r>
      <w:r>
        <w:rPr>
          <w:rFonts w:hint="eastAsia" w:ascii="宋体" w:hAnsi="宋体" w:cs="宋体"/>
          <w:color w:val="auto"/>
          <w:sz w:val="32"/>
          <w:szCs w:val="32"/>
        </w:rPr>
        <w:t>29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"_Toc6839" </w:instrText>
      </w:r>
      <w:r>
        <w:rPr>
          <w:color w:val="auto"/>
        </w:rPr>
        <w:fldChar w:fldCharType="separate"/>
      </w:r>
      <w:r>
        <w:rPr>
          <w:rFonts w:hint="eastAsia" w:ascii="宋体" w:hAnsi="宋体" w:cs="宋体"/>
          <w:color w:val="auto"/>
          <w:sz w:val="32"/>
          <w:szCs w:val="32"/>
        </w:rPr>
        <w:t>第五章  评审办法</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_Toc6839 \h </w:instrText>
      </w:r>
      <w:r>
        <w:rPr>
          <w:rFonts w:hint="eastAsia" w:ascii="宋体" w:hAnsi="宋体" w:cs="宋体"/>
          <w:color w:val="auto"/>
          <w:sz w:val="32"/>
          <w:szCs w:val="32"/>
        </w:rPr>
        <w:fldChar w:fldCharType="separate"/>
      </w:r>
      <w:r>
        <w:rPr>
          <w:rFonts w:hint="eastAsia" w:ascii="宋体" w:hAnsi="宋体" w:cs="宋体"/>
          <w:color w:val="auto"/>
          <w:sz w:val="32"/>
          <w:szCs w:val="32"/>
        </w:rPr>
        <w:t>34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"_Toc21141" </w:instrText>
      </w:r>
      <w:r>
        <w:rPr>
          <w:color w:val="auto"/>
        </w:rPr>
        <w:fldChar w:fldCharType="separate"/>
      </w:r>
      <w:r>
        <w:rPr>
          <w:rFonts w:hint="eastAsia" w:ascii="宋体" w:hAnsi="宋体" w:cs="宋体"/>
          <w:color w:val="auto"/>
          <w:sz w:val="32"/>
          <w:szCs w:val="32"/>
        </w:rPr>
        <w:t>第六章  合同主要条款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_Toc21141 \h </w:instrText>
      </w:r>
      <w:r>
        <w:rPr>
          <w:rFonts w:hint="eastAsia" w:ascii="宋体" w:hAnsi="宋体" w:cs="宋体"/>
          <w:color w:val="auto"/>
          <w:sz w:val="32"/>
          <w:szCs w:val="32"/>
        </w:rPr>
        <w:fldChar w:fldCharType="separate"/>
      </w:r>
      <w:r>
        <w:rPr>
          <w:rFonts w:hint="eastAsia" w:ascii="宋体" w:hAnsi="宋体" w:cs="宋体"/>
          <w:color w:val="auto"/>
          <w:sz w:val="32"/>
          <w:szCs w:val="32"/>
        </w:rPr>
        <w:t>42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"_Toc11901" </w:instrText>
      </w:r>
      <w:r>
        <w:rPr>
          <w:color w:val="auto"/>
        </w:rPr>
        <w:fldChar w:fldCharType="separate"/>
      </w:r>
      <w:r>
        <w:rPr>
          <w:rFonts w:hint="eastAsia" w:ascii="宋体" w:hAnsi="宋体" w:cs="宋体"/>
          <w:color w:val="auto"/>
          <w:sz w:val="32"/>
          <w:szCs w:val="32"/>
        </w:rPr>
        <w:t>第七章  广安市人民医院供应商黑名单管理办法</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_Toc11901 \h </w:instrText>
      </w:r>
      <w:r>
        <w:rPr>
          <w:rFonts w:hint="eastAsia" w:ascii="宋体" w:hAnsi="宋体" w:cs="宋体"/>
          <w:color w:val="auto"/>
          <w:sz w:val="32"/>
          <w:szCs w:val="32"/>
        </w:rPr>
        <w:fldChar w:fldCharType="separate"/>
      </w:r>
      <w:r>
        <w:rPr>
          <w:rFonts w:hint="eastAsia" w:ascii="宋体" w:hAnsi="宋体" w:cs="宋体"/>
          <w:color w:val="auto"/>
          <w:sz w:val="32"/>
          <w:szCs w:val="32"/>
        </w:rPr>
        <w:t>49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spacing w:line="480" w:lineRule="auto"/>
        <w:rPr>
          <w:rFonts w:ascii="宋体" w:hAnsi="宋体" w:cs="宋体"/>
          <w:b/>
          <w:bCs/>
          <w:color w:val="auto"/>
          <w:sz w:val="48"/>
          <w:szCs w:val="56"/>
        </w:rPr>
      </w:pPr>
      <w:r>
        <w:rPr>
          <w:rFonts w:hint="eastAsia" w:ascii="宋体" w:hAnsi="宋体" w:cs="宋体"/>
          <w:b/>
          <w:bCs/>
          <w:color w:val="auto"/>
          <w:sz w:val="32"/>
          <w:szCs w:val="32"/>
          <w:lang w:val="zh-CN"/>
        </w:rPr>
        <w:fldChar w:fldCharType="end"/>
      </w:r>
    </w:p>
    <w:p>
      <w:pPr>
        <w:autoSpaceDE w:val="0"/>
        <w:autoSpaceDN w:val="0"/>
        <w:adjustRightInd w:val="0"/>
        <w:spacing w:line="360" w:lineRule="auto"/>
        <w:jc w:val="center"/>
        <w:rPr>
          <w:rFonts w:ascii="宋体" w:hAnsi="宋体"/>
          <w:b/>
          <w:color w:val="auto"/>
          <w:sz w:val="32"/>
          <w:szCs w:val="32"/>
        </w:rPr>
      </w:pPr>
    </w:p>
    <w:p>
      <w:pPr>
        <w:pStyle w:val="39"/>
        <w:rPr>
          <w:color w:val="auto"/>
        </w:rPr>
      </w:pPr>
      <w:bookmarkStart w:id="1" w:name="_Toc25893"/>
      <w:bookmarkStart w:id="2" w:name="_Toc372813218"/>
      <w:r>
        <w:rPr>
          <w:rFonts w:hint="eastAsia" w:hAnsi="黑体"/>
          <w:color w:val="auto"/>
        </w:rPr>
        <w:br w:type="page"/>
      </w:r>
      <w:bookmarkStart w:id="3" w:name="_Toc16908"/>
      <w:r>
        <w:rPr>
          <w:rFonts w:hint="eastAsia"/>
          <w:color w:val="auto"/>
        </w:rPr>
        <w:t xml:space="preserve">第一章  </w:t>
      </w:r>
      <w:bookmarkEnd w:id="1"/>
      <w:bookmarkEnd w:id="2"/>
      <w:r>
        <w:rPr>
          <w:rFonts w:hint="eastAsia"/>
          <w:color w:val="auto"/>
        </w:rPr>
        <w:t>采购公告</w:t>
      </w:r>
      <w:bookmarkEnd w:id="3"/>
    </w:p>
    <w:p>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二、项目名称：广安市人民医院/四川大学华西医院广安医院产科倒置显微镜采购项目</w:t>
      </w:r>
    </w:p>
    <w:p>
      <w:pPr>
        <w:spacing w:line="360" w:lineRule="auto"/>
        <w:rPr>
          <w:rFonts w:ascii="宋体" w:hAnsi="宋体"/>
          <w:b/>
          <w:bCs/>
          <w:color w:val="auto"/>
          <w:sz w:val="24"/>
        </w:rPr>
      </w:pPr>
      <w:r>
        <w:rPr>
          <w:rFonts w:hint="eastAsia" w:ascii="宋体" w:hAnsi="宋体"/>
          <w:b/>
          <w:bCs/>
          <w:color w:val="auto"/>
          <w:sz w:val="24"/>
        </w:rPr>
        <w:t>三、项目编号：GASRMYY-2023030</w:t>
      </w:r>
      <w:r>
        <w:rPr>
          <w:rFonts w:hint="eastAsia" w:ascii="宋体" w:hAnsi="宋体"/>
          <w:b/>
          <w:bCs/>
          <w:color w:val="auto"/>
          <w:sz w:val="24"/>
          <w:lang w:val="en-US" w:eastAsia="zh-CN"/>
        </w:rPr>
        <w:t>8</w:t>
      </w:r>
      <w:r>
        <w:rPr>
          <w:rFonts w:hint="eastAsia" w:ascii="宋体" w:hAnsi="宋体"/>
          <w:b/>
          <w:bCs/>
          <w:color w:val="auto"/>
          <w:sz w:val="24"/>
        </w:rPr>
        <w:t>-01</w:t>
      </w:r>
    </w:p>
    <w:p>
      <w:pPr>
        <w:spacing w:line="360" w:lineRule="auto"/>
        <w:rPr>
          <w:rFonts w:ascii="宋体" w:hAnsi="宋体"/>
          <w:b/>
          <w:bCs/>
          <w:color w:val="auto"/>
          <w:sz w:val="24"/>
        </w:rPr>
      </w:pPr>
      <w:r>
        <w:rPr>
          <w:rFonts w:hint="eastAsia" w:ascii="宋体" w:hAnsi="宋体"/>
          <w:b/>
          <w:bCs/>
          <w:color w:val="auto"/>
          <w:sz w:val="24"/>
        </w:rPr>
        <w:t>四、项目简介</w:t>
      </w:r>
    </w:p>
    <w:p>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lang w:val="en-US" w:eastAsia="zh-CN"/>
        </w:rPr>
        <w:t>1</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012"/>
        <w:gridCol w:w="920"/>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955" w:type="dxa"/>
            <w:vAlign w:val="center"/>
          </w:tcPr>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品目号</w:t>
            </w:r>
          </w:p>
        </w:tc>
        <w:tc>
          <w:tcPr>
            <w:tcW w:w="2012"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920"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数量（台）</w:t>
            </w:r>
          </w:p>
        </w:tc>
        <w:tc>
          <w:tcPr>
            <w:tcW w:w="1091"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p>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118"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合计</w:t>
            </w:r>
          </w:p>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282"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w:t>
            </w:r>
          </w:p>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（万元）</w:t>
            </w:r>
          </w:p>
        </w:tc>
        <w:tc>
          <w:tcPr>
            <w:tcW w:w="1523"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pPr>
              <w:autoSpaceDE w:val="0"/>
              <w:autoSpaceDN w:val="0"/>
              <w:adjustRightInd w:val="0"/>
              <w:jc w:val="center"/>
              <w:rPr>
                <w:rFonts w:hint="eastAsia" w:ascii="宋体" w:hAnsi="宋体" w:eastAsia="宋体"/>
                <w:color w:val="auto"/>
                <w:kern w:val="0"/>
                <w:sz w:val="24"/>
                <w:lang w:eastAsia="zh-CN"/>
              </w:rPr>
            </w:pPr>
            <w:r>
              <w:rPr>
                <w:rFonts w:hint="eastAsia" w:ascii="宋体" w:hAnsi="宋体"/>
                <w:color w:val="auto"/>
                <w:kern w:val="0"/>
                <w:sz w:val="24"/>
              </w:rPr>
              <w:t>0</w:t>
            </w:r>
            <w:r>
              <w:rPr>
                <w:rFonts w:hint="eastAsia" w:ascii="宋体" w:hAnsi="宋体"/>
                <w:color w:val="auto"/>
                <w:kern w:val="0"/>
                <w:sz w:val="24"/>
                <w:lang w:val="en-US" w:eastAsia="zh-CN"/>
              </w:rPr>
              <w:t>1</w:t>
            </w:r>
          </w:p>
        </w:tc>
        <w:tc>
          <w:tcPr>
            <w:tcW w:w="955" w:type="dxa"/>
            <w:vAlign w:val="center"/>
          </w:tcPr>
          <w:p>
            <w:pPr>
              <w:autoSpaceDE w:val="0"/>
              <w:autoSpaceDN w:val="0"/>
              <w:adjustRightInd w:val="0"/>
              <w:jc w:val="center"/>
              <w:rPr>
                <w:rFonts w:hint="eastAsia" w:ascii="宋体" w:hAnsi="宋体"/>
                <w:color w:val="auto"/>
                <w:kern w:val="0"/>
                <w:sz w:val="24"/>
              </w:rPr>
            </w:pPr>
            <w:r>
              <w:rPr>
                <w:rFonts w:hint="eastAsia" w:ascii="宋体" w:hAnsi="宋体"/>
                <w:color w:val="auto"/>
                <w:kern w:val="0"/>
                <w:sz w:val="24"/>
              </w:rPr>
              <w:t>0</w:t>
            </w:r>
            <w:r>
              <w:rPr>
                <w:rFonts w:hint="eastAsia" w:ascii="宋体" w:hAnsi="宋体"/>
                <w:color w:val="auto"/>
                <w:kern w:val="0"/>
                <w:sz w:val="24"/>
                <w:lang w:val="en-US" w:eastAsia="zh-CN"/>
              </w:rPr>
              <w:t>1</w:t>
            </w:r>
            <w:r>
              <w:rPr>
                <w:rFonts w:hint="eastAsia" w:ascii="宋体" w:hAnsi="宋体"/>
                <w:color w:val="auto"/>
                <w:kern w:val="0"/>
                <w:sz w:val="24"/>
              </w:rPr>
              <w:t>-01</w:t>
            </w:r>
          </w:p>
        </w:tc>
        <w:tc>
          <w:tcPr>
            <w:tcW w:w="2012" w:type="dxa"/>
            <w:vAlign w:val="center"/>
          </w:tcPr>
          <w:p>
            <w:pPr>
              <w:autoSpaceDE w:val="0"/>
              <w:autoSpaceDN w:val="0"/>
              <w:adjustRightInd w:val="0"/>
              <w:jc w:val="center"/>
              <w:rPr>
                <w:rFonts w:hint="eastAsia" w:eastAsia="宋体"/>
                <w:color w:val="auto"/>
                <w:sz w:val="24"/>
                <w:lang w:eastAsia="zh-CN"/>
              </w:rPr>
            </w:pPr>
            <w:r>
              <w:rPr>
                <w:rFonts w:hint="eastAsia"/>
                <w:color w:val="auto"/>
                <w:sz w:val="24"/>
                <w:lang w:eastAsia="zh-CN"/>
              </w:rPr>
              <w:t>倒置显微镜</w:t>
            </w:r>
          </w:p>
        </w:tc>
        <w:tc>
          <w:tcPr>
            <w:tcW w:w="920"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w:t>
            </w:r>
          </w:p>
        </w:tc>
        <w:tc>
          <w:tcPr>
            <w:tcW w:w="1091"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118"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282"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523" w:type="dxa"/>
            <w:vAlign w:val="center"/>
          </w:tcPr>
          <w:p>
            <w:pPr>
              <w:autoSpaceDE w:val="0"/>
              <w:autoSpaceDN w:val="0"/>
              <w:adjustRightInd w:val="0"/>
              <w:jc w:val="center"/>
              <w:rPr>
                <w:rFonts w:hint="eastAsia" w:ascii="宋体" w:hAnsi="宋体"/>
                <w:color w:val="auto"/>
                <w:kern w:val="0"/>
                <w:sz w:val="24"/>
                <w:lang w:eastAsia="zh-CN"/>
              </w:rPr>
            </w:pPr>
            <w:r>
              <w:rPr>
                <w:rFonts w:hint="eastAsia" w:ascii="宋体" w:hAnsi="宋体"/>
                <w:color w:val="auto"/>
                <w:kern w:val="0"/>
                <w:sz w:val="24"/>
                <w:lang w:eastAsia="zh-CN"/>
              </w:rPr>
              <w:t>产科</w:t>
            </w:r>
          </w:p>
        </w:tc>
      </w:tr>
    </w:tbl>
    <w:p>
      <w:pPr>
        <w:rPr>
          <w:color w:val="auto"/>
        </w:rPr>
      </w:pPr>
    </w:p>
    <w:bookmarkEnd w:id="4"/>
    <w:p>
      <w:pPr>
        <w:spacing w:line="360" w:lineRule="auto"/>
        <w:rPr>
          <w:rFonts w:ascii="宋体" w:hAnsi="宋体"/>
          <w:b/>
          <w:bCs/>
          <w:color w:val="auto"/>
          <w:sz w:val="24"/>
        </w:rPr>
      </w:pPr>
      <w:r>
        <w:rPr>
          <w:rFonts w:hint="eastAsia" w:ascii="宋体" w:hAnsi="宋体"/>
          <w:b/>
          <w:bCs/>
          <w:color w:val="auto"/>
          <w:sz w:val="24"/>
        </w:rPr>
        <w:t>五、采购申请人资格条件要求</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采购人根据采购项目提出的特殊条件要求：</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.1</w:t>
      </w:r>
      <w:r>
        <w:rPr>
          <w:rFonts w:hint="eastAsia" w:ascii="宋体" w:hAnsi="宋体"/>
          <w:bCs/>
          <w:color w:val="auto"/>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.2</w:t>
      </w:r>
      <w:r>
        <w:rPr>
          <w:rFonts w:hint="eastAsia" w:ascii="宋体" w:hAnsi="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5.6.3</w:t>
      </w:r>
      <w:r>
        <w:rPr>
          <w:rFonts w:hint="eastAsia" w:ascii="宋体" w:hAnsi="宋体"/>
          <w:bCs/>
          <w:color w:val="auto"/>
          <w:kern w:val="0"/>
          <w:sz w:val="24"/>
        </w:rPr>
        <w:t>售后服务承诺书。</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.4</w:t>
      </w:r>
      <w:r>
        <w:rPr>
          <w:rFonts w:hint="eastAsia" w:ascii="宋体" w:hAnsi="宋体"/>
          <w:bCs/>
          <w:color w:val="auto"/>
          <w:kern w:val="0"/>
          <w:sz w:val="24"/>
        </w:rPr>
        <w:t>生产厂家授权。</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.5</w:t>
      </w:r>
      <w:r>
        <w:rPr>
          <w:rFonts w:hint="eastAsia" w:ascii="宋体" w:hAnsi="宋体"/>
          <w:bCs/>
          <w:color w:val="auto"/>
          <w:kern w:val="0"/>
          <w:sz w:val="24"/>
        </w:rPr>
        <w:t>产品说明书。</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5.7</w:t>
      </w:r>
      <w:r>
        <w:rPr>
          <w:rFonts w:hint="eastAsia" w:ascii="宋体" w:hAnsi="宋体"/>
          <w:bCs/>
          <w:color w:val="auto"/>
          <w:kern w:val="0"/>
          <w:sz w:val="24"/>
        </w:rPr>
        <w:t xml:space="preserve">本项目不允许联合体参加。 </w:t>
      </w:r>
    </w:p>
    <w:p>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b/>
          <w:bCs/>
          <w:color w:val="auto"/>
          <w:sz w:val="24"/>
        </w:rPr>
      </w:pPr>
      <w:r>
        <w:rPr>
          <w:rFonts w:hint="eastAsia" w:ascii="宋体" w:hAnsi="宋体"/>
          <w:b/>
          <w:bCs/>
          <w:color w:val="auto"/>
          <w:sz w:val="24"/>
        </w:rPr>
        <w:t>六、采购文件的获取</w:t>
      </w:r>
    </w:p>
    <w:p>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http://www.gasrmyy.com/yiyuangonggao/zhaobiaoxinxi/</w:t>
      </w:r>
      <w:r>
        <w:rPr>
          <w:rFonts w:hint="eastAsia" w:ascii="宋体" w:hAnsi="宋体"/>
          <w:color w:val="auto"/>
          <w:kern w:val="0"/>
          <w:sz w:val="24"/>
        </w:rPr>
        <w:t>）获取。</w:t>
      </w:r>
    </w:p>
    <w:p>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7.1报名时间：2023年3月13日至2023年3月17日（五个工作日，每天上午8:00-12:00，下午14:30-18:00）（北京时间，法定节假日除外）。</w:t>
      </w:r>
    </w:p>
    <w:p>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7.2报名方式：潜在供应商提交盖公司鲜章的报名表（具体格式详见采购文件第三章格式十二）原件至广安市人民医院采购科302房间（可邮寄）。</w:t>
      </w:r>
    </w:p>
    <w:p>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7.3逾期送达的或者未送达指定地点的报名表，采购人不予受理。</w:t>
      </w:r>
    </w:p>
    <w:p>
      <w:pPr>
        <w:spacing w:line="360" w:lineRule="auto"/>
        <w:rPr>
          <w:rFonts w:ascii="宋体" w:hAnsi="宋体"/>
          <w:b/>
          <w:bCs/>
          <w:color w:val="auto"/>
          <w:sz w:val="24"/>
        </w:rPr>
      </w:pPr>
      <w:r>
        <w:rPr>
          <w:rFonts w:hint="eastAsia" w:ascii="宋体" w:hAnsi="宋体"/>
          <w:b/>
          <w:bCs/>
          <w:color w:val="auto"/>
          <w:sz w:val="24"/>
        </w:rPr>
        <w:t>八、递交采购申请文件的时间及地点</w:t>
      </w:r>
    </w:p>
    <w:p>
      <w:pPr>
        <w:tabs>
          <w:tab w:val="left" w:pos="1480"/>
        </w:tabs>
        <w:autoSpaceDE w:val="0"/>
        <w:autoSpaceDN w:val="0"/>
        <w:adjustRightInd w:val="0"/>
        <w:spacing w:line="360" w:lineRule="auto"/>
        <w:ind w:right="-157"/>
        <w:jc w:val="left"/>
        <w:rPr>
          <w:rFonts w:ascii="宋体" w:hAnsi="宋体"/>
          <w:color w:val="auto"/>
          <w:kern w:val="0"/>
          <w:sz w:val="24"/>
        </w:rPr>
      </w:pPr>
      <w:r>
        <w:rPr>
          <w:rFonts w:hint="eastAsia" w:ascii="宋体" w:hAnsi="宋体"/>
          <w:color w:val="auto"/>
          <w:kern w:val="0"/>
          <w:sz w:val="24"/>
        </w:rPr>
        <w:t>8.1递交采购申请文件的截止时间：</w:t>
      </w:r>
      <w:r>
        <w:rPr>
          <w:rFonts w:hint="eastAsia" w:ascii="宋体" w:hAnsi="宋体"/>
          <w:color w:val="auto"/>
          <w:kern w:val="0"/>
          <w:sz w:val="24"/>
          <w:u w:val="single"/>
        </w:rPr>
        <w:t>2023年</w:t>
      </w:r>
      <w:r>
        <w:rPr>
          <w:rFonts w:hint="eastAsia" w:ascii="宋体" w:hAnsi="宋体"/>
          <w:color w:val="auto"/>
          <w:kern w:val="0"/>
          <w:sz w:val="24"/>
          <w:u w:val="single"/>
          <w:lang w:val="en-US" w:eastAsia="zh-CN"/>
        </w:rPr>
        <w:t>3</w:t>
      </w:r>
      <w:r>
        <w:rPr>
          <w:rFonts w:hint="eastAsia" w:ascii="宋体" w:hAnsi="宋体"/>
          <w:color w:val="auto"/>
          <w:kern w:val="0"/>
          <w:sz w:val="24"/>
          <w:u w:val="single"/>
        </w:rPr>
        <w:t>月</w:t>
      </w:r>
      <w:r>
        <w:rPr>
          <w:rFonts w:hint="eastAsia" w:ascii="宋体" w:hAnsi="宋体"/>
          <w:color w:val="auto"/>
          <w:kern w:val="0"/>
          <w:sz w:val="24"/>
          <w:u w:val="single"/>
          <w:lang w:val="en-US" w:eastAsia="zh-CN"/>
        </w:rPr>
        <w:t>21</w:t>
      </w:r>
      <w:r>
        <w:rPr>
          <w:rFonts w:hint="eastAsia" w:ascii="宋体" w:hAnsi="宋体"/>
          <w:color w:val="auto"/>
          <w:kern w:val="0"/>
          <w:sz w:val="24"/>
          <w:u w:val="single"/>
        </w:rPr>
        <w:t>日18时00分</w:t>
      </w:r>
      <w:r>
        <w:rPr>
          <w:rFonts w:hint="eastAsia" w:ascii="宋体" w:hAnsi="宋体"/>
          <w:color w:val="auto"/>
          <w:kern w:val="0"/>
          <w:sz w:val="24"/>
        </w:rPr>
        <w:t>（北京时间），地点为</w:t>
      </w:r>
      <w:r>
        <w:rPr>
          <w:rFonts w:hint="eastAsia" w:ascii="宋体" w:hAnsi="宋体"/>
          <w:color w:val="auto"/>
          <w:kern w:val="0"/>
          <w:sz w:val="24"/>
          <w:u w:val="single"/>
        </w:rPr>
        <w:t>广安市人民医院办公楼3</w:t>
      </w:r>
      <w:r>
        <w:rPr>
          <w:rFonts w:ascii="宋体" w:hAnsi="宋体"/>
          <w:color w:val="auto"/>
          <w:kern w:val="0"/>
          <w:sz w:val="24"/>
          <w:u w:val="single"/>
        </w:rPr>
        <w:t>02/408（</w:t>
      </w:r>
      <w:r>
        <w:rPr>
          <w:rFonts w:hint="eastAsia" w:ascii="宋体" w:hAnsi="宋体"/>
          <w:color w:val="auto"/>
          <w:kern w:val="0"/>
          <w:sz w:val="24"/>
          <w:u w:val="single"/>
        </w:rPr>
        <w:t>广安市广安区滨河路四段一号广安市人民医院办公楼3</w:t>
      </w:r>
      <w:r>
        <w:rPr>
          <w:rFonts w:ascii="宋体" w:hAnsi="宋体"/>
          <w:color w:val="auto"/>
          <w:kern w:val="0"/>
          <w:sz w:val="24"/>
          <w:u w:val="single"/>
        </w:rPr>
        <w:t>02/408</w:t>
      </w:r>
      <w:r>
        <w:rPr>
          <w:rFonts w:hint="eastAsia" w:ascii="宋体" w:hAnsi="宋体"/>
          <w:color w:val="auto"/>
          <w:kern w:val="0"/>
          <w:sz w:val="24"/>
          <w:u w:val="single"/>
        </w:rPr>
        <w:t>）</w:t>
      </w:r>
      <w:r>
        <w:rPr>
          <w:rFonts w:hint="eastAsia" w:ascii="宋体" w:hAnsi="宋体"/>
          <w:b/>
          <w:bCs/>
          <w:color w:val="auto"/>
          <w:kern w:val="0"/>
          <w:sz w:val="24"/>
        </w:rPr>
        <w:t>（不接受邮寄）</w:t>
      </w:r>
      <w:r>
        <w:rPr>
          <w:rFonts w:hint="eastAsia" w:ascii="宋体" w:hAnsi="宋体"/>
          <w:color w:val="auto"/>
          <w:kern w:val="0"/>
          <w:sz w:val="24"/>
        </w:rPr>
        <w:t>。</w:t>
      </w:r>
    </w:p>
    <w:p>
      <w:pPr>
        <w:tabs>
          <w:tab w:val="left" w:pos="1380"/>
        </w:tabs>
        <w:autoSpaceDE w:val="0"/>
        <w:autoSpaceDN w:val="0"/>
        <w:adjustRightInd w:val="0"/>
        <w:spacing w:line="360" w:lineRule="auto"/>
        <w:ind w:right="-137"/>
        <w:jc w:val="left"/>
        <w:rPr>
          <w:rFonts w:ascii="宋体" w:hAnsi="宋体"/>
          <w:color w:val="auto"/>
          <w:kern w:val="0"/>
          <w:sz w:val="24"/>
        </w:rPr>
      </w:pPr>
      <w:r>
        <w:rPr>
          <w:rFonts w:hint="eastAsia" w:ascii="宋体" w:hAnsi="宋体"/>
          <w:color w:val="auto"/>
          <w:kern w:val="0"/>
          <w:sz w:val="24"/>
        </w:rPr>
        <w:t>8.2逾期送达的或者未送达指定地点的采购申请文件，采购人不予受理。</w:t>
      </w:r>
    </w:p>
    <w:p>
      <w:pPr>
        <w:spacing w:line="360" w:lineRule="auto"/>
        <w:rPr>
          <w:rFonts w:ascii="宋体" w:hAnsi="宋体"/>
          <w:b/>
          <w:bCs/>
          <w:color w:val="auto"/>
          <w:sz w:val="24"/>
        </w:rPr>
      </w:pPr>
      <w:r>
        <w:rPr>
          <w:rFonts w:hint="eastAsia" w:ascii="宋体" w:hAnsi="宋体"/>
          <w:b/>
          <w:bCs/>
          <w:color w:val="auto"/>
          <w:sz w:val="24"/>
        </w:rPr>
        <w:t>九、本项目公告于《广安市人民医院官网》上发布。</w:t>
      </w:r>
    </w:p>
    <w:p>
      <w:pPr>
        <w:spacing w:line="360" w:lineRule="auto"/>
        <w:rPr>
          <w:rFonts w:ascii="宋体" w:hAnsi="宋体"/>
          <w:b/>
          <w:bCs/>
          <w:color w:val="auto"/>
          <w:sz w:val="24"/>
        </w:rPr>
      </w:pPr>
      <w:r>
        <w:rPr>
          <w:rFonts w:hint="eastAsia" w:ascii="宋体" w:hAnsi="宋体"/>
          <w:b/>
          <w:bCs/>
          <w:color w:val="auto"/>
          <w:sz w:val="24"/>
        </w:rPr>
        <w:t>十、联系方式</w:t>
      </w:r>
      <w:bookmarkStart w:id="72" w:name="_GoBack"/>
      <w:bookmarkEnd w:id="72"/>
    </w:p>
    <w:p>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   曾老师（采购办公室）</w:t>
      </w:r>
    </w:p>
    <w:p>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   19816258680  13982609112</w:t>
      </w:r>
    </w:p>
    <w:p>
      <w:pPr>
        <w:pStyle w:val="39"/>
        <w:rPr>
          <w:color w:val="auto"/>
        </w:rPr>
      </w:pPr>
      <w:r>
        <w:rPr>
          <w:rFonts w:ascii="宋体" w:hAnsi="宋体"/>
          <w:color w:val="auto"/>
        </w:rPr>
        <w:br w:type="page"/>
      </w:r>
      <w:bookmarkStart w:id="5" w:name="_Toc20807"/>
      <w:r>
        <w:rPr>
          <w:rFonts w:hint="eastAsia"/>
          <w:color w:val="auto"/>
        </w:rPr>
        <w:t>第二章  采购须知</w:t>
      </w:r>
      <w:bookmarkEnd w:id="0"/>
      <w:bookmarkEnd w:id="5"/>
    </w:p>
    <w:p>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pPr>
              <w:jc w:val="center"/>
              <w:rPr>
                <w:b/>
                <w:color w:val="auto"/>
                <w:szCs w:val="21"/>
              </w:rPr>
            </w:pPr>
            <w:r>
              <w:rPr>
                <w:rFonts w:hint="eastAsia" w:ascii="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1</w:t>
            </w:r>
          </w:p>
        </w:tc>
        <w:tc>
          <w:tcPr>
            <w:tcW w:w="1842" w:type="dxa"/>
            <w:vAlign w:val="center"/>
          </w:tcPr>
          <w:p>
            <w:pPr>
              <w:jc w:val="center"/>
              <w:rPr>
                <w:rFonts w:ascii="宋体"/>
                <w:color w:val="auto"/>
                <w:szCs w:val="21"/>
              </w:rPr>
            </w:pPr>
            <w:r>
              <w:rPr>
                <w:rFonts w:hint="eastAsia" w:ascii="宋体"/>
                <w:color w:val="auto"/>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Cs w:val="21"/>
              </w:rPr>
            </w:pPr>
            <w:r>
              <w:rPr>
                <w:rFonts w:ascii="宋体"/>
                <w:color w:val="auto"/>
                <w:szCs w:val="21"/>
              </w:rPr>
              <w:t>2</w:t>
            </w:r>
          </w:p>
        </w:tc>
        <w:tc>
          <w:tcPr>
            <w:tcW w:w="1842" w:type="dxa"/>
            <w:vAlign w:val="center"/>
          </w:tcPr>
          <w:p>
            <w:pPr>
              <w:jc w:val="center"/>
              <w:rPr>
                <w:rFonts w:ascii="宋体"/>
                <w:color w:val="auto"/>
                <w:szCs w:val="21"/>
              </w:rPr>
            </w:pPr>
            <w:r>
              <w:rPr>
                <w:rFonts w:hint="eastAsia" w:ascii="宋体"/>
                <w:color w:val="auto"/>
                <w:szCs w:val="21"/>
              </w:rPr>
              <w:t>项目名称</w:t>
            </w:r>
          </w:p>
        </w:tc>
        <w:tc>
          <w:tcPr>
            <w:tcW w:w="6783" w:type="dxa"/>
            <w:vAlign w:val="center"/>
          </w:tcPr>
          <w:p>
            <w:pPr>
              <w:spacing w:line="360" w:lineRule="auto"/>
              <w:jc w:val="left"/>
              <w:rPr>
                <w:rFonts w:ascii="宋体"/>
                <w:color w:val="auto"/>
                <w:szCs w:val="21"/>
              </w:rPr>
            </w:pPr>
            <w:r>
              <w:rPr>
                <w:rFonts w:hint="eastAsia" w:ascii="宋体"/>
                <w:color w:val="auto"/>
                <w:szCs w:val="21"/>
              </w:rPr>
              <w:t>广安市人民医院/四川大学华西医院广安医院产科倒置显微镜采购项目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3</w:t>
            </w:r>
          </w:p>
        </w:tc>
        <w:tc>
          <w:tcPr>
            <w:tcW w:w="1842" w:type="dxa"/>
            <w:vAlign w:val="center"/>
          </w:tcPr>
          <w:p>
            <w:pPr>
              <w:jc w:val="center"/>
              <w:rPr>
                <w:rFonts w:ascii="宋体"/>
                <w:color w:val="auto"/>
                <w:szCs w:val="21"/>
              </w:rPr>
            </w:pPr>
            <w:r>
              <w:rPr>
                <w:rFonts w:hint="eastAsia" w:ascii="宋体"/>
                <w:color w:val="auto"/>
                <w:szCs w:val="21"/>
              </w:rPr>
              <w:t>最高限价</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4</w:t>
            </w:r>
          </w:p>
        </w:tc>
        <w:tc>
          <w:tcPr>
            <w:tcW w:w="1842" w:type="dxa"/>
            <w:vAlign w:val="center"/>
          </w:tcPr>
          <w:p>
            <w:pPr>
              <w:jc w:val="center"/>
              <w:rPr>
                <w:rFonts w:ascii="宋体"/>
                <w:color w:val="auto"/>
                <w:szCs w:val="21"/>
              </w:rPr>
            </w:pPr>
            <w:r>
              <w:rPr>
                <w:rFonts w:hint="eastAsia" w:ascii="宋体"/>
                <w:color w:val="auto"/>
                <w:szCs w:val="21"/>
              </w:rPr>
              <w:t>不正当</w:t>
            </w:r>
          </w:p>
          <w:p>
            <w:pPr>
              <w:jc w:val="center"/>
              <w:rPr>
                <w:rFonts w:ascii="宋体"/>
                <w:color w:val="auto"/>
                <w:szCs w:val="21"/>
              </w:rPr>
            </w:pPr>
            <w:r>
              <w:rPr>
                <w:rFonts w:hint="eastAsia" w:ascii="宋体"/>
                <w:color w:val="auto"/>
                <w:szCs w:val="21"/>
              </w:rPr>
              <w:t>竞争预防措施</w:t>
            </w:r>
          </w:p>
          <w:p>
            <w:pPr>
              <w:jc w:val="center"/>
              <w:rPr>
                <w:rFonts w:ascii="宋体"/>
                <w:color w:val="auto"/>
                <w:szCs w:val="21"/>
              </w:rPr>
            </w:pPr>
            <w:r>
              <w:rPr>
                <w:rFonts w:hint="eastAsia" w:ascii="宋体"/>
                <w:color w:val="auto"/>
                <w:szCs w:val="21"/>
              </w:rPr>
              <w:t>（实质性要求）</w:t>
            </w:r>
          </w:p>
        </w:tc>
        <w:tc>
          <w:tcPr>
            <w:tcW w:w="6783" w:type="dxa"/>
            <w:vAlign w:val="center"/>
          </w:tcPr>
          <w:p>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color w:val="auto"/>
                <w:szCs w:val="21"/>
              </w:rPr>
            </w:pPr>
            <w:r>
              <w:rPr>
                <w:rFonts w:ascii="宋体"/>
                <w:color w:val="auto"/>
                <w:szCs w:val="21"/>
              </w:rPr>
              <w:t>5</w:t>
            </w:r>
          </w:p>
        </w:tc>
        <w:tc>
          <w:tcPr>
            <w:tcW w:w="1842" w:type="dxa"/>
            <w:vAlign w:val="center"/>
          </w:tcPr>
          <w:p>
            <w:pPr>
              <w:jc w:val="center"/>
              <w:rPr>
                <w:color w:val="auto"/>
                <w:szCs w:val="21"/>
              </w:rPr>
            </w:pPr>
            <w:r>
              <w:rPr>
                <w:rFonts w:hint="eastAsia"/>
                <w:color w:val="auto"/>
                <w:szCs w:val="21"/>
              </w:rPr>
              <w:t>采购响应有效期</w:t>
            </w:r>
          </w:p>
          <w:p>
            <w:pPr>
              <w:jc w:val="center"/>
              <w:rPr>
                <w:color w:val="auto"/>
                <w:szCs w:val="21"/>
              </w:rPr>
            </w:pPr>
            <w:r>
              <w:rPr>
                <w:rFonts w:hint="eastAsia" w:ascii="宋体"/>
                <w:color w:val="auto"/>
                <w:szCs w:val="21"/>
              </w:rPr>
              <w:t>（实质性要求）</w:t>
            </w:r>
          </w:p>
        </w:tc>
        <w:tc>
          <w:tcPr>
            <w:tcW w:w="6783" w:type="dxa"/>
            <w:vAlign w:val="center"/>
          </w:tcPr>
          <w:p>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color w:val="auto"/>
                <w:szCs w:val="21"/>
              </w:rPr>
            </w:pPr>
            <w:r>
              <w:rPr>
                <w:rFonts w:ascii="宋体"/>
                <w:color w:val="auto"/>
                <w:szCs w:val="21"/>
              </w:rPr>
              <w:t>6</w:t>
            </w:r>
          </w:p>
        </w:tc>
        <w:tc>
          <w:tcPr>
            <w:tcW w:w="1842" w:type="dxa"/>
            <w:vAlign w:val="center"/>
          </w:tcPr>
          <w:p>
            <w:pPr>
              <w:jc w:val="center"/>
              <w:rPr>
                <w:color w:val="auto"/>
                <w:szCs w:val="21"/>
              </w:rPr>
            </w:pPr>
            <w:r>
              <w:rPr>
                <w:rFonts w:hint="eastAsia"/>
                <w:color w:val="auto"/>
                <w:szCs w:val="21"/>
              </w:rPr>
              <w:t>采购申请文件份数、包装及密封要求</w:t>
            </w:r>
          </w:p>
        </w:tc>
        <w:tc>
          <w:tcPr>
            <w:tcW w:w="6783" w:type="dxa"/>
            <w:vAlign w:val="center"/>
          </w:tcPr>
          <w:p>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color w:val="auto"/>
                <w:szCs w:val="21"/>
              </w:rPr>
            </w:pPr>
            <w:r>
              <w:rPr>
                <w:rFonts w:ascii="宋体"/>
                <w:color w:val="auto"/>
                <w:szCs w:val="21"/>
              </w:rPr>
              <w:t>7</w:t>
            </w:r>
          </w:p>
        </w:tc>
        <w:tc>
          <w:tcPr>
            <w:tcW w:w="1842" w:type="dxa"/>
            <w:vAlign w:val="center"/>
          </w:tcPr>
          <w:p>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color w:val="auto"/>
                <w:szCs w:val="21"/>
              </w:rPr>
            </w:pPr>
            <w:r>
              <w:rPr>
                <w:rFonts w:ascii="宋体"/>
                <w:color w:val="auto"/>
                <w:szCs w:val="21"/>
              </w:rPr>
              <w:t>8</w:t>
            </w:r>
          </w:p>
        </w:tc>
        <w:tc>
          <w:tcPr>
            <w:tcW w:w="1842" w:type="dxa"/>
            <w:vAlign w:val="center"/>
          </w:tcPr>
          <w:p>
            <w:pPr>
              <w:jc w:val="center"/>
              <w:rPr>
                <w:rFonts w:ascii="宋体"/>
                <w:color w:val="auto"/>
                <w:szCs w:val="21"/>
              </w:rPr>
            </w:pPr>
            <w:r>
              <w:rPr>
                <w:rFonts w:hint="eastAsia" w:ascii="宋体"/>
                <w:color w:val="auto"/>
                <w:szCs w:val="21"/>
              </w:rPr>
              <w:t>是否退还采购申请文件</w:t>
            </w:r>
          </w:p>
        </w:tc>
        <w:tc>
          <w:tcPr>
            <w:tcW w:w="6783" w:type="dxa"/>
            <w:vAlign w:val="center"/>
          </w:tcPr>
          <w:p>
            <w:pPr>
              <w:spacing w:line="360" w:lineRule="auto"/>
              <w:rPr>
                <w:rFonts w:ascii="宋体" w:cs="Courier New"/>
                <w:color w:val="auto"/>
                <w:kern w:val="0"/>
                <w:szCs w:val="21"/>
              </w:rPr>
            </w:pPr>
            <w:r>
              <w:rPr>
                <w:rFonts w:hint="eastAsia" w:ascii="宋体" w:cs="Courier New"/>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color w:val="auto"/>
                <w:szCs w:val="21"/>
              </w:rPr>
            </w:pPr>
            <w:r>
              <w:rPr>
                <w:rFonts w:ascii="宋体"/>
                <w:color w:val="auto"/>
                <w:szCs w:val="21"/>
              </w:rPr>
              <w:t>9</w:t>
            </w:r>
          </w:p>
        </w:tc>
        <w:tc>
          <w:tcPr>
            <w:tcW w:w="1842" w:type="dxa"/>
            <w:vAlign w:val="center"/>
          </w:tcPr>
          <w:p>
            <w:pPr>
              <w:jc w:val="center"/>
              <w:rPr>
                <w:rFonts w:ascii="宋体"/>
                <w:color w:val="auto"/>
                <w:szCs w:val="21"/>
              </w:rPr>
            </w:pPr>
            <w:r>
              <w:rPr>
                <w:rFonts w:hint="eastAsia" w:ascii="宋体"/>
                <w:color w:val="auto"/>
                <w:szCs w:val="21"/>
              </w:rPr>
              <w:t>评审方法</w:t>
            </w:r>
          </w:p>
          <w:p>
            <w:pPr>
              <w:jc w:val="center"/>
              <w:rPr>
                <w:rFonts w:ascii="宋体"/>
                <w:color w:val="auto"/>
                <w:szCs w:val="21"/>
              </w:rPr>
            </w:pPr>
            <w:r>
              <w:rPr>
                <w:rFonts w:hint="eastAsia" w:ascii="宋体"/>
                <w:color w:val="auto"/>
                <w:szCs w:val="21"/>
              </w:rPr>
              <w:t>及标准</w:t>
            </w:r>
          </w:p>
        </w:tc>
        <w:tc>
          <w:tcPr>
            <w:tcW w:w="6783" w:type="dxa"/>
            <w:vAlign w:val="center"/>
          </w:tcPr>
          <w:p>
            <w:pPr>
              <w:rPr>
                <w:color w:val="auto"/>
                <w:szCs w:val="21"/>
              </w:rPr>
            </w:pPr>
            <w:r>
              <w:rPr>
                <w:rFonts w:hint="eastAsia"/>
                <w:color w:val="auto"/>
                <w:szCs w:val="21"/>
              </w:rPr>
              <w:t>综合评分法，具体详见第五章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Cs w:val="21"/>
              </w:rPr>
            </w:pPr>
            <w:r>
              <w:rPr>
                <w:rFonts w:ascii="宋体"/>
                <w:color w:val="auto"/>
                <w:szCs w:val="21"/>
              </w:rPr>
              <w:t>10</w:t>
            </w:r>
          </w:p>
        </w:tc>
        <w:tc>
          <w:tcPr>
            <w:tcW w:w="1842" w:type="dxa"/>
            <w:vAlign w:val="center"/>
          </w:tcPr>
          <w:p>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pPr>
              <w:spacing w:line="360" w:lineRule="auto"/>
              <w:rPr>
                <w:color w:val="auto"/>
                <w:szCs w:val="21"/>
              </w:rPr>
            </w:pPr>
            <w:bookmarkStart w:id="6" w:name="_Toc365040661"/>
            <w:r>
              <w:rPr>
                <w:rFonts w:hint="eastAsia" w:ascii="宋体"/>
                <w:color w:val="auto"/>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11</w:t>
            </w:r>
          </w:p>
        </w:tc>
        <w:tc>
          <w:tcPr>
            <w:tcW w:w="1842" w:type="dxa"/>
            <w:vAlign w:val="center"/>
          </w:tcPr>
          <w:p>
            <w:pPr>
              <w:jc w:val="center"/>
              <w:rPr>
                <w:rFonts w:ascii="宋体"/>
                <w:color w:val="auto"/>
                <w:szCs w:val="21"/>
              </w:rPr>
            </w:pPr>
            <w:r>
              <w:rPr>
                <w:rFonts w:hint="eastAsia" w:ascii="宋体"/>
                <w:color w:val="auto"/>
                <w:szCs w:val="21"/>
              </w:rPr>
              <w:t>履约保证金</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rPr>
                <w:color w:val="auto"/>
                <w:szCs w:val="21"/>
              </w:rPr>
            </w:pPr>
            <w:r>
              <w:rPr>
                <w:rFonts w:hint="eastAsia"/>
                <w:color w:val="auto"/>
                <w:szCs w:val="21"/>
              </w:rPr>
              <w:t>金    额：合同成交金额</w:t>
            </w:r>
            <w:r>
              <w:rPr>
                <w:color w:val="auto"/>
                <w:szCs w:val="21"/>
              </w:rPr>
              <w:t>5</w:t>
            </w:r>
            <w:r>
              <w:rPr>
                <w:rFonts w:hint="eastAsia"/>
                <w:color w:val="auto"/>
                <w:szCs w:val="21"/>
              </w:rPr>
              <w:t>%</w:t>
            </w:r>
          </w:p>
          <w:p>
            <w:pPr>
              <w:rPr>
                <w:color w:val="auto"/>
                <w:szCs w:val="21"/>
              </w:rPr>
            </w:pPr>
            <w:r>
              <w:rPr>
                <w:rFonts w:hint="eastAsia"/>
                <w:color w:val="auto"/>
                <w:szCs w:val="21"/>
              </w:rPr>
              <w:t>交款方式：履约保证金可以以支票、汇票、本票或者金融机构出具的保函等非现金形式提交（包括网银转账，电汇等方式）。</w:t>
            </w:r>
          </w:p>
          <w:p>
            <w:pPr>
              <w:rPr>
                <w:color w:val="auto"/>
                <w:szCs w:val="21"/>
              </w:rPr>
            </w:pPr>
            <w:r>
              <w:rPr>
                <w:rFonts w:hint="eastAsia"/>
                <w:color w:val="auto"/>
                <w:szCs w:val="21"/>
              </w:rPr>
              <w:t>收款单位：广安市人民医院</w:t>
            </w:r>
          </w:p>
          <w:p>
            <w:pPr>
              <w:rPr>
                <w:color w:val="auto"/>
                <w:szCs w:val="21"/>
              </w:rPr>
            </w:pPr>
            <w:r>
              <w:rPr>
                <w:rFonts w:hint="eastAsia"/>
                <w:color w:val="auto"/>
                <w:szCs w:val="21"/>
              </w:rPr>
              <w:t>开 户 行：中国工商银行广安市分行营业部</w:t>
            </w:r>
          </w:p>
          <w:p>
            <w:pPr>
              <w:rPr>
                <w:color w:val="auto"/>
                <w:szCs w:val="21"/>
              </w:rPr>
            </w:pPr>
            <w:r>
              <w:rPr>
                <w:rFonts w:hint="eastAsia"/>
                <w:color w:val="auto"/>
                <w:szCs w:val="21"/>
              </w:rPr>
              <w:t>银行账号：2316552109201022514</w:t>
            </w:r>
          </w:p>
          <w:p>
            <w:pPr>
              <w:rPr>
                <w:color w:val="auto"/>
                <w:szCs w:val="21"/>
              </w:rPr>
            </w:pPr>
            <w:r>
              <w:rPr>
                <w:rFonts w:hint="eastAsia"/>
                <w:color w:val="auto"/>
                <w:szCs w:val="21"/>
              </w:rPr>
              <w:t>交款时间：成交通知书发放后，采购合同签订前。</w:t>
            </w:r>
          </w:p>
          <w:p>
            <w:pPr>
              <w:rPr>
                <w:color w:val="auto"/>
                <w:szCs w:val="21"/>
              </w:rPr>
            </w:pPr>
            <w:r>
              <w:rPr>
                <w:rFonts w:hint="eastAsia"/>
                <w:color w:val="auto"/>
                <w:szCs w:val="21"/>
              </w:rPr>
              <w:t>履约保证金退还方式：转账。</w:t>
            </w:r>
          </w:p>
          <w:p>
            <w:pPr>
              <w:rPr>
                <w:color w:val="auto"/>
                <w:szCs w:val="21"/>
              </w:rPr>
            </w:pPr>
            <w:r>
              <w:rPr>
                <w:rFonts w:hint="eastAsia"/>
                <w:color w:val="auto"/>
                <w:szCs w:val="21"/>
              </w:rPr>
              <w:t>履约保证金退还时间：供应商凭验收合格证明书。</w:t>
            </w:r>
          </w:p>
          <w:p>
            <w:pPr>
              <w:rPr>
                <w:color w:val="auto"/>
                <w:szCs w:val="21"/>
              </w:rPr>
            </w:pPr>
            <w:r>
              <w:rPr>
                <w:rFonts w:hint="eastAsia"/>
                <w:color w:val="auto"/>
                <w:szCs w:val="21"/>
              </w:rPr>
              <w:t>履约保证金不予退还情形：未按照合同要求完成。</w:t>
            </w:r>
          </w:p>
          <w:p>
            <w:pPr>
              <w:rPr>
                <w:color w:val="auto"/>
                <w:szCs w:val="21"/>
              </w:rPr>
            </w:pPr>
            <w:r>
              <w:rPr>
                <w:rFonts w:hint="eastAsia"/>
                <w:color w:val="auto"/>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2</w:t>
            </w:r>
          </w:p>
        </w:tc>
        <w:tc>
          <w:tcPr>
            <w:tcW w:w="8625" w:type="dxa"/>
            <w:gridSpan w:val="2"/>
            <w:vAlign w:val="center"/>
          </w:tcPr>
          <w:p>
            <w:pPr>
              <w:spacing w:line="360" w:lineRule="auto"/>
              <w:jc w:val="center"/>
              <w:rPr>
                <w:rFonts w:ascii="宋体"/>
                <w:color w:val="auto"/>
                <w:szCs w:val="21"/>
              </w:rPr>
            </w:pPr>
            <w:r>
              <w:rPr>
                <w:rFonts w:hint="eastAsia" w:ascii="宋体"/>
                <w:color w:val="auto"/>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2.1</w:t>
            </w:r>
          </w:p>
        </w:tc>
        <w:tc>
          <w:tcPr>
            <w:tcW w:w="1842" w:type="dxa"/>
            <w:vAlign w:val="center"/>
          </w:tcPr>
          <w:p>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2.2</w:t>
            </w:r>
          </w:p>
        </w:tc>
        <w:tc>
          <w:tcPr>
            <w:tcW w:w="1842" w:type="dxa"/>
            <w:vAlign w:val="center"/>
          </w:tcPr>
          <w:p>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pPr>
              <w:spacing w:line="360" w:lineRule="exact"/>
              <w:ind w:left="96"/>
              <w:rPr>
                <w:rFonts w:ascii="宋体"/>
                <w:color w:val="auto"/>
                <w:szCs w:val="21"/>
              </w:rPr>
            </w:pPr>
            <w:r>
              <w:rPr>
                <w:rFonts w:hint="eastAsia" w:ascii="宋体"/>
                <w:color w:val="auto"/>
                <w:szCs w:val="21"/>
              </w:rPr>
              <w:t>①异议书必须具有明确的请求和必要的证明材料。</w:t>
            </w:r>
          </w:p>
          <w:p>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3</w:t>
            </w:r>
          </w:p>
        </w:tc>
        <w:tc>
          <w:tcPr>
            <w:tcW w:w="8625" w:type="dxa"/>
            <w:gridSpan w:val="2"/>
            <w:vAlign w:val="center"/>
          </w:tcPr>
          <w:p>
            <w:pPr>
              <w:spacing w:line="360" w:lineRule="exact"/>
              <w:jc w:val="center"/>
              <w:rPr>
                <w:rFonts w:ascii="宋体"/>
                <w:color w:val="auto"/>
                <w:szCs w:val="21"/>
              </w:rPr>
            </w:pPr>
            <w:r>
              <w:rPr>
                <w:rFonts w:hint="eastAsia" w:ascii="宋体"/>
                <w:color w:val="auto"/>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3.1</w:t>
            </w:r>
          </w:p>
        </w:tc>
        <w:tc>
          <w:tcPr>
            <w:tcW w:w="1842" w:type="dxa"/>
            <w:vAlign w:val="center"/>
          </w:tcPr>
          <w:p>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pPr>
              <w:pStyle w:val="2"/>
              <w:rPr>
                <w:rFonts w:hAnsi="Calibri"/>
                <w:color w:val="auto"/>
                <w:sz w:val="21"/>
                <w:szCs w:val="21"/>
              </w:rPr>
            </w:pPr>
            <w:r>
              <w:rPr>
                <w:rFonts w:hint="eastAsia" w:hAnsi="Calibri"/>
                <w:color w:val="auto"/>
                <w:sz w:val="21"/>
                <w:szCs w:val="21"/>
              </w:rPr>
              <w:t>①异议书必须具有明确的请求和必要的证明材料。</w:t>
            </w:r>
          </w:p>
          <w:p>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pPr>
              <w:rPr>
                <w:color w:val="auto"/>
                <w:szCs w:val="21"/>
              </w:rPr>
            </w:pPr>
            <w:r>
              <w:rPr>
                <w:rFonts w:hint="eastAsia" w:ascii="宋体" w:hAnsi="宋体"/>
                <w:color w:val="auto"/>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ascii="宋体"/>
                <w:color w:val="auto"/>
                <w:szCs w:val="21"/>
              </w:rPr>
            </w:pPr>
            <w:r>
              <w:rPr>
                <w:rFonts w:ascii="宋体"/>
                <w:color w:val="auto"/>
                <w:szCs w:val="21"/>
              </w:rPr>
              <w:t>1</w:t>
            </w:r>
            <w:r>
              <w:rPr>
                <w:rFonts w:hint="eastAsia" w:ascii="宋体"/>
                <w:color w:val="auto"/>
                <w:szCs w:val="21"/>
              </w:rPr>
              <w:t>4</w:t>
            </w:r>
          </w:p>
        </w:tc>
        <w:tc>
          <w:tcPr>
            <w:tcW w:w="1842" w:type="dxa"/>
            <w:vAlign w:val="center"/>
          </w:tcPr>
          <w:p>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w:t>
            </w:r>
          </w:p>
        </w:tc>
        <w:tc>
          <w:tcPr>
            <w:tcW w:w="8625" w:type="dxa"/>
            <w:gridSpan w:val="2"/>
            <w:vAlign w:val="center"/>
          </w:tcPr>
          <w:p>
            <w:pPr>
              <w:spacing w:line="360" w:lineRule="auto"/>
              <w:jc w:val="center"/>
              <w:rPr>
                <w:color w:val="auto"/>
                <w:szCs w:val="21"/>
              </w:rPr>
            </w:pPr>
            <w:r>
              <w:rPr>
                <w:rFonts w:hint="eastAsia" w:ascii="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1</w:t>
            </w:r>
          </w:p>
        </w:tc>
        <w:tc>
          <w:tcPr>
            <w:tcW w:w="1842" w:type="dxa"/>
            <w:vAlign w:val="center"/>
          </w:tcPr>
          <w:p>
            <w:pPr>
              <w:jc w:val="center"/>
              <w:rPr>
                <w:rFonts w:ascii="宋体"/>
                <w:color w:val="auto"/>
                <w:szCs w:val="21"/>
              </w:rPr>
            </w:pPr>
            <w:r>
              <w:rPr>
                <w:rFonts w:hint="eastAsia" w:ascii="宋体"/>
                <w:color w:val="auto"/>
                <w:szCs w:val="21"/>
              </w:rPr>
              <w:t>严禁转包和违法分包</w:t>
            </w:r>
          </w:p>
          <w:p>
            <w:pPr>
              <w:jc w:val="center"/>
              <w:rPr>
                <w:rFonts w:ascii="宋体"/>
                <w:color w:val="auto"/>
                <w:szCs w:val="21"/>
              </w:rPr>
            </w:pPr>
            <w:r>
              <w:rPr>
                <w:rFonts w:hint="eastAsia" w:ascii="宋体"/>
                <w:color w:val="auto"/>
                <w:szCs w:val="21"/>
              </w:rPr>
              <w:t>（实质性要求）</w:t>
            </w:r>
          </w:p>
        </w:tc>
        <w:tc>
          <w:tcPr>
            <w:tcW w:w="6783" w:type="dxa"/>
            <w:vAlign w:val="center"/>
          </w:tcPr>
          <w:p>
            <w:pPr>
              <w:spacing w:line="360" w:lineRule="auto"/>
              <w:rPr>
                <w:rFonts w:ascii="宋体"/>
                <w:color w:val="auto"/>
                <w:szCs w:val="21"/>
              </w:rPr>
            </w:pPr>
            <w:r>
              <w:rPr>
                <w:rFonts w:hint="eastAsia" w:ascii="宋体"/>
                <w:color w:val="auto"/>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2</w:t>
            </w:r>
          </w:p>
        </w:tc>
        <w:tc>
          <w:tcPr>
            <w:tcW w:w="1842" w:type="dxa"/>
            <w:vAlign w:val="center"/>
          </w:tcPr>
          <w:p>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15.3</w:t>
            </w:r>
          </w:p>
        </w:tc>
        <w:tc>
          <w:tcPr>
            <w:tcW w:w="1842" w:type="dxa"/>
            <w:vAlign w:val="center"/>
          </w:tcPr>
          <w:p>
            <w:pPr>
              <w:jc w:val="center"/>
              <w:rPr>
                <w:rFonts w:ascii="宋体"/>
                <w:color w:val="auto"/>
                <w:szCs w:val="21"/>
              </w:rPr>
            </w:pPr>
            <w:r>
              <w:rPr>
                <w:rFonts w:hint="eastAsia" w:ascii="宋体"/>
                <w:color w:val="auto"/>
                <w:szCs w:val="21"/>
              </w:rPr>
              <w:t>采购申请文件真实性</w:t>
            </w:r>
          </w:p>
        </w:tc>
        <w:tc>
          <w:tcPr>
            <w:tcW w:w="6783" w:type="dxa"/>
            <w:vAlign w:val="center"/>
          </w:tcPr>
          <w:p>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w:t>
            </w:r>
            <w:r>
              <w:rPr>
                <w:rFonts w:hint="eastAsia" w:ascii="宋体"/>
                <w:b/>
                <w:bCs/>
                <w:color w:val="auto"/>
                <w:szCs w:val="21"/>
              </w:rPr>
              <w:t>《广安市人民医院供应商黑名单管理办法》（详见第七章）</w:t>
            </w:r>
            <w:r>
              <w:rPr>
                <w:rFonts w:hint="eastAsia" w:ascii="宋体"/>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5.4</w:t>
            </w:r>
          </w:p>
        </w:tc>
        <w:tc>
          <w:tcPr>
            <w:tcW w:w="1842" w:type="dxa"/>
            <w:vAlign w:val="center"/>
          </w:tcPr>
          <w:p>
            <w:pPr>
              <w:jc w:val="center"/>
              <w:rPr>
                <w:rFonts w:ascii="宋体"/>
                <w:color w:val="auto"/>
                <w:szCs w:val="21"/>
              </w:rPr>
            </w:pPr>
            <w:r>
              <w:rPr>
                <w:rFonts w:hint="eastAsia" w:ascii="宋体"/>
                <w:color w:val="auto"/>
                <w:szCs w:val="21"/>
              </w:rPr>
              <w:t>采购文件的解释</w:t>
            </w:r>
          </w:p>
        </w:tc>
        <w:tc>
          <w:tcPr>
            <w:tcW w:w="6783" w:type="dxa"/>
            <w:vAlign w:val="center"/>
          </w:tcPr>
          <w:p>
            <w:pPr>
              <w:spacing w:line="360" w:lineRule="auto"/>
              <w:rPr>
                <w:rFonts w:ascii="宋体"/>
                <w:color w:val="auto"/>
                <w:szCs w:val="21"/>
              </w:rPr>
            </w:pPr>
            <w:r>
              <w:rPr>
                <w:rFonts w:hint="eastAsia" w:ascii="宋体"/>
                <w:color w:val="auto"/>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pPr>
        <w:pStyle w:val="7"/>
        <w:spacing w:before="0" w:after="0"/>
        <w:rPr>
          <w:rFonts w:ascii="宋体" w:hAnsi="宋体" w:eastAsia="宋体"/>
          <w:b/>
          <w:color w:val="auto"/>
          <w:sz w:val="24"/>
          <w:szCs w:val="24"/>
        </w:rPr>
      </w:pPr>
      <w:r>
        <w:rPr>
          <w:rFonts w:hint="eastAsia" w:ascii="宋体" w:hAnsi="宋体" w:eastAsia="宋体"/>
          <w:b/>
          <w:color w:val="auto"/>
          <w:sz w:val="24"/>
          <w:szCs w:val="24"/>
        </w:rPr>
        <w:t>（二）总则</w:t>
      </w:r>
    </w:p>
    <w:p>
      <w:pPr>
        <w:pStyle w:val="8"/>
        <w:ind w:firstLine="0"/>
        <w:rPr>
          <w:bCs/>
          <w:color w:val="auto"/>
          <w:szCs w:val="24"/>
        </w:rPr>
      </w:pPr>
      <w:r>
        <w:rPr>
          <w:rFonts w:hint="eastAsia"/>
          <w:bCs/>
          <w:color w:val="auto"/>
          <w:szCs w:val="24"/>
        </w:rPr>
        <w:t>1. 说明</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pPr>
        <w:pStyle w:val="8"/>
        <w:ind w:firstLine="0"/>
        <w:rPr>
          <w:bCs/>
          <w:color w:val="auto"/>
          <w:szCs w:val="24"/>
        </w:rPr>
      </w:pPr>
      <w:r>
        <w:rPr>
          <w:bCs/>
          <w:color w:val="auto"/>
          <w:szCs w:val="24"/>
        </w:rPr>
        <w:t>2</w:t>
      </w:r>
      <w:r>
        <w:rPr>
          <w:rFonts w:hint="eastAsia"/>
          <w:bCs/>
          <w:color w:val="auto"/>
          <w:szCs w:val="24"/>
        </w:rPr>
        <w:t>. 充分、公平竞争保障措施（实质性要求）</w:t>
      </w:r>
    </w:p>
    <w:p>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提供相同品牌产品处理。</w:t>
      </w:r>
    </w:p>
    <w:p>
      <w:pPr>
        <w:pStyle w:val="65"/>
        <w:spacing w:line="460" w:lineRule="exact"/>
        <w:ind w:left="1" w:right="210"/>
        <w:rPr>
          <w:bCs/>
          <w:color w:val="auto"/>
          <w:szCs w:val="24"/>
        </w:rPr>
      </w:pPr>
      <w:r>
        <w:rPr>
          <w:rFonts w:hint="eastAsia"/>
          <w:bCs/>
          <w:color w:val="auto"/>
          <w:szCs w:val="24"/>
        </w:rPr>
        <w:t>针对单一产品采购项目包，提供相同品牌产品且通过资格性审查、符合性审查的不同申请人参加同一合同项下采购的，按一家申请人计算，评审后得分最高的同品牌申请人获得成交人推荐资格；评审得分相同的，由采购人采取随机抽取方式确定一个申请人获得成交人推荐资格，其他同品牌申请人不作为成交候选人。</w:t>
      </w:r>
    </w:p>
    <w:p>
      <w:pPr>
        <w:pStyle w:val="65"/>
        <w:spacing w:line="460" w:lineRule="exact"/>
        <w:ind w:left="1" w:right="210"/>
        <w:rPr>
          <w:bCs/>
          <w:color w:val="auto"/>
          <w:szCs w:val="24"/>
        </w:rPr>
      </w:pPr>
      <w:r>
        <w:rPr>
          <w:rFonts w:hint="eastAsia"/>
          <w:bCs/>
          <w:color w:val="auto"/>
          <w:szCs w:val="24"/>
        </w:rPr>
        <w:t>针对非单一产品采购项目包，采购人根据采购项目技术构成、产品价格比重等合理确定核心产品。多家申请人提供的任一核心产品品牌相同的</w:t>
      </w:r>
      <w:r>
        <w:rPr>
          <w:rFonts w:hint="eastAsia"/>
          <w:bCs/>
          <w:color w:val="auto"/>
        </w:rPr>
        <w:t>，按前款规定处理</w:t>
      </w:r>
      <w:r>
        <w:rPr>
          <w:rFonts w:hint="eastAsia"/>
          <w:bCs/>
          <w:color w:val="auto"/>
          <w:szCs w:val="24"/>
        </w:rPr>
        <w:t>。</w:t>
      </w:r>
      <w:r>
        <w:rPr>
          <w:rFonts w:hint="eastAsia"/>
          <w:b/>
          <w:color w:val="auto"/>
          <w:szCs w:val="24"/>
        </w:rPr>
        <w:t>本采购项目核心产品为：无。</w:t>
      </w:r>
    </w:p>
    <w:p>
      <w:pPr>
        <w:pStyle w:val="8"/>
        <w:numPr>
          <w:ilvl w:val="0"/>
          <w:numId w:val="3"/>
        </w:numPr>
        <w:ind w:firstLine="0"/>
        <w:rPr>
          <w:bCs/>
          <w:color w:val="auto"/>
          <w:szCs w:val="24"/>
        </w:rPr>
      </w:pPr>
      <w:r>
        <w:rPr>
          <w:rFonts w:hint="eastAsia"/>
          <w:bCs/>
          <w:color w:val="auto"/>
          <w:szCs w:val="24"/>
        </w:rPr>
        <w:t>合格的采购申请人</w:t>
      </w:r>
    </w:p>
    <w:p>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pPr>
        <w:pStyle w:val="8"/>
        <w:ind w:firstLine="0"/>
        <w:rPr>
          <w:bCs/>
          <w:color w:val="auto"/>
          <w:szCs w:val="24"/>
        </w:rPr>
      </w:pPr>
      <w:r>
        <w:rPr>
          <w:rFonts w:hint="eastAsia"/>
          <w:bCs/>
          <w:color w:val="auto"/>
          <w:szCs w:val="24"/>
        </w:rPr>
        <w:t xml:space="preserve">4. </w:t>
      </w:r>
      <w:r>
        <w:rPr>
          <w:bCs/>
          <w:color w:val="auto"/>
          <w:szCs w:val="24"/>
        </w:rPr>
        <w:t>踏勘现场</w:t>
      </w:r>
    </w:p>
    <w:p>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4.3现场踏勘发生的一切相关费用由各采购申请人自行承担。</w:t>
      </w:r>
    </w:p>
    <w:p>
      <w:pPr>
        <w:pStyle w:val="8"/>
        <w:numPr>
          <w:ilvl w:val="0"/>
          <w:numId w:val="4"/>
        </w:numPr>
        <w:ind w:firstLine="0"/>
        <w:rPr>
          <w:bCs/>
          <w:color w:val="auto"/>
          <w:szCs w:val="24"/>
        </w:rPr>
      </w:pPr>
      <w:r>
        <w:rPr>
          <w:bCs/>
          <w:color w:val="auto"/>
          <w:szCs w:val="24"/>
        </w:rPr>
        <w:t>参选费用</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pPr>
        <w:pStyle w:val="7"/>
        <w:rPr>
          <w:rFonts w:ascii="宋体" w:hAnsi="宋体" w:eastAsia="宋体"/>
          <w:b/>
          <w:color w:val="auto"/>
          <w:sz w:val="24"/>
          <w:szCs w:val="24"/>
        </w:rPr>
      </w:pPr>
      <w:r>
        <w:rPr>
          <w:rFonts w:hint="eastAsia" w:ascii="宋体" w:hAnsi="宋体" w:eastAsia="宋体"/>
          <w:b/>
          <w:color w:val="auto"/>
          <w:sz w:val="24"/>
          <w:szCs w:val="24"/>
        </w:rPr>
        <w:t>（三）采购文件</w:t>
      </w:r>
    </w:p>
    <w:p>
      <w:pPr>
        <w:pStyle w:val="8"/>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.1采购文件包括下列内容：</w:t>
      </w:r>
    </w:p>
    <w:p>
      <w:pPr>
        <w:tabs>
          <w:tab w:val="left" w:pos="720"/>
        </w:tabs>
        <w:spacing w:line="360" w:lineRule="auto"/>
        <w:rPr>
          <w:rFonts w:ascii="宋体" w:hAnsi="宋体"/>
          <w:color w:val="auto"/>
          <w:sz w:val="24"/>
        </w:rPr>
      </w:pPr>
      <w:r>
        <w:rPr>
          <w:rFonts w:hint="eastAsia" w:ascii="宋体" w:hAnsi="宋体"/>
          <w:color w:val="auto"/>
          <w:sz w:val="24"/>
        </w:rPr>
        <w:t>第一章  采购公告</w:t>
      </w:r>
    </w:p>
    <w:p>
      <w:pPr>
        <w:tabs>
          <w:tab w:val="left" w:pos="720"/>
        </w:tabs>
        <w:spacing w:line="360" w:lineRule="auto"/>
        <w:rPr>
          <w:rFonts w:ascii="宋体" w:hAnsi="宋体"/>
          <w:color w:val="auto"/>
          <w:sz w:val="24"/>
        </w:rPr>
      </w:pPr>
      <w:r>
        <w:rPr>
          <w:rFonts w:hint="eastAsia" w:ascii="宋体" w:hAnsi="宋体"/>
          <w:color w:val="auto"/>
          <w:sz w:val="24"/>
        </w:rPr>
        <w:t>第二章 采购须知</w:t>
      </w:r>
    </w:p>
    <w:p>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pPr>
        <w:tabs>
          <w:tab w:val="left" w:pos="720"/>
        </w:tabs>
        <w:spacing w:line="360" w:lineRule="auto"/>
        <w:rPr>
          <w:rFonts w:ascii="宋体" w:hAnsi="宋体"/>
          <w:color w:val="auto"/>
          <w:sz w:val="24"/>
        </w:rPr>
      </w:pPr>
      <w:r>
        <w:rPr>
          <w:rFonts w:hint="eastAsia" w:ascii="宋体" w:hAnsi="宋体"/>
          <w:color w:val="auto"/>
          <w:sz w:val="24"/>
        </w:rPr>
        <w:t>第四章  采购需求</w:t>
      </w:r>
    </w:p>
    <w:p>
      <w:pPr>
        <w:tabs>
          <w:tab w:val="left" w:pos="720"/>
        </w:tabs>
        <w:spacing w:line="360" w:lineRule="auto"/>
        <w:rPr>
          <w:rFonts w:ascii="宋体" w:hAnsi="宋体"/>
          <w:color w:val="auto"/>
          <w:sz w:val="24"/>
        </w:rPr>
      </w:pPr>
      <w:r>
        <w:rPr>
          <w:rFonts w:hint="eastAsia" w:ascii="宋体" w:hAnsi="宋体"/>
          <w:color w:val="auto"/>
          <w:sz w:val="24"/>
        </w:rPr>
        <w:t>第五章  评审办法</w:t>
      </w:r>
    </w:p>
    <w:p>
      <w:pPr>
        <w:tabs>
          <w:tab w:val="left" w:pos="720"/>
        </w:tabs>
        <w:spacing w:line="360" w:lineRule="auto"/>
        <w:rPr>
          <w:rFonts w:ascii="宋体" w:hAnsi="宋体"/>
          <w:color w:val="auto"/>
          <w:sz w:val="24"/>
        </w:rPr>
      </w:pPr>
      <w:r>
        <w:rPr>
          <w:rFonts w:hint="eastAsia" w:ascii="宋体" w:hAnsi="宋体"/>
          <w:color w:val="auto"/>
          <w:sz w:val="24"/>
        </w:rPr>
        <w:t>第六章  合同主要条款</w:t>
      </w:r>
    </w:p>
    <w:p>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color w:val="auto"/>
          <w:sz w:val="24"/>
        </w:rPr>
      </w:pPr>
      <w:r>
        <w:rPr>
          <w:rFonts w:hint="eastAsia" w:ascii="宋体" w:hAnsi="宋体"/>
          <w:color w:val="auto"/>
          <w:sz w:val="24"/>
        </w:rPr>
        <w:t>6.4采购文件及补充资料前后有矛盾的，以时间在后的为准。</w:t>
      </w:r>
    </w:p>
    <w:p>
      <w:pPr>
        <w:tabs>
          <w:tab w:val="left" w:pos="720"/>
        </w:tabs>
        <w:spacing w:line="360" w:lineRule="auto"/>
        <w:rPr>
          <w:rFonts w:ascii="宋体" w:hAnsi="宋体"/>
          <w:color w:val="auto"/>
          <w:sz w:val="24"/>
        </w:rPr>
      </w:pPr>
      <w:r>
        <w:rPr>
          <w:rFonts w:hint="eastAsia" w:ascii="宋体" w:hAnsi="宋体"/>
          <w:color w:val="auto"/>
          <w:sz w:val="24"/>
        </w:rPr>
        <w:t xml:space="preserve">6.5本采购文件由采购人负责解释。 </w:t>
      </w:r>
    </w:p>
    <w:p>
      <w:pPr>
        <w:pStyle w:val="8"/>
        <w:numPr>
          <w:ilvl w:val="0"/>
          <w:numId w:val="5"/>
        </w:numPr>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采购文件的澄清</w:t>
      </w:r>
      <w:bookmarkEnd w:id="7"/>
      <w:bookmarkEnd w:id="8"/>
      <w:r>
        <w:rPr>
          <w:rFonts w:hint="eastAsia"/>
          <w:bCs/>
          <w:color w:val="auto"/>
          <w:szCs w:val="24"/>
        </w:rPr>
        <w:t>和修改</w:t>
      </w:r>
      <w:bookmarkEnd w:id="9"/>
    </w:p>
    <w:p>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7"/>
        <w:rPr>
          <w:rFonts w:ascii="宋体" w:hAnsi="宋体" w:eastAsia="宋体"/>
          <w:b/>
          <w:color w:val="auto"/>
          <w:sz w:val="24"/>
          <w:szCs w:val="24"/>
        </w:rPr>
      </w:pPr>
      <w:r>
        <w:rPr>
          <w:rFonts w:hint="eastAsia" w:ascii="宋体" w:hAnsi="宋体" w:eastAsia="宋体"/>
          <w:b/>
          <w:color w:val="auto"/>
          <w:sz w:val="24"/>
          <w:szCs w:val="24"/>
        </w:rPr>
        <w:t>（四）采购申请文件的编制</w:t>
      </w:r>
    </w:p>
    <w:p>
      <w:pPr>
        <w:pStyle w:val="8"/>
        <w:tabs>
          <w:tab w:val="left" w:pos="1000"/>
        </w:tabs>
        <w:ind w:firstLine="0"/>
        <w:rPr>
          <w:bCs/>
          <w:color w:val="auto"/>
          <w:szCs w:val="24"/>
        </w:rPr>
      </w:pPr>
      <w:r>
        <w:rPr>
          <w:rFonts w:hint="eastAsia"/>
          <w:bCs/>
          <w:color w:val="auto"/>
          <w:szCs w:val="24"/>
        </w:rPr>
        <w:t>8. 采购申请文件</w:t>
      </w:r>
      <w:r>
        <w:rPr>
          <w:bCs/>
          <w:color w:val="auto"/>
          <w:szCs w:val="24"/>
        </w:rPr>
        <w:t>的语言</w:t>
      </w:r>
    </w:p>
    <w:p>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pPr>
        <w:pStyle w:val="8"/>
        <w:tabs>
          <w:tab w:val="left" w:pos="1000"/>
        </w:tabs>
        <w:spacing w:before="156" w:beforeLines="50" w:after="156" w:afterLines="50" w:line="500" w:lineRule="exact"/>
        <w:ind w:firstLine="0"/>
        <w:rPr>
          <w:bCs/>
          <w:color w:val="auto"/>
          <w:szCs w:val="24"/>
        </w:rPr>
      </w:pPr>
      <w:r>
        <w:rPr>
          <w:rFonts w:hint="eastAsia"/>
          <w:bCs/>
          <w:color w:val="auto"/>
          <w:szCs w:val="24"/>
        </w:rPr>
        <w:t>9.采购申请文件</w:t>
      </w:r>
      <w:r>
        <w:rPr>
          <w:bCs/>
          <w:color w:val="auto"/>
          <w:szCs w:val="24"/>
        </w:rPr>
        <w:t>的组成</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报价。</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商务部分。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pPr>
        <w:pStyle w:val="2"/>
        <w:spacing w:before="156" w:beforeLines="50" w:after="156" w:afterLines="50" w:line="500" w:lineRule="exact"/>
        <w:rPr>
          <w:color w:val="auto"/>
        </w:rPr>
      </w:pPr>
      <w:r>
        <w:rPr>
          <w:rFonts w:hint="eastAsia"/>
          <w:color w:val="auto"/>
        </w:rPr>
        <w:t>（4）证明采购申请人实力、业绩和荣誉的有关材料；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 技术部分。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 售后服务。</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 其它。</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pPr>
        <w:pStyle w:val="8"/>
        <w:numPr>
          <w:ilvl w:val="0"/>
          <w:numId w:val="8"/>
        </w:numPr>
        <w:tabs>
          <w:tab w:val="left" w:pos="1000"/>
        </w:tabs>
        <w:ind w:firstLine="0"/>
        <w:rPr>
          <w:bCs/>
          <w:color w:val="auto"/>
          <w:szCs w:val="24"/>
        </w:rPr>
      </w:pPr>
      <w:r>
        <w:rPr>
          <w:rFonts w:hint="eastAsia"/>
          <w:bCs/>
          <w:color w:val="auto"/>
          <w:szCs w:val="24"/>
        </w:rPr>
        <w:t>采购申请文件格式</w:t>
      </w:r>
    </w:p>
    <w:p>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pPr>
        <w:pStyle w:val="8"/>
        <w:tabs>
          <w:tab w:val="left" w:pos="1000"/>
        </w:tabs>
        <w:ind w:firstLine="0"/>
        <w:rPr>
          <w:bCs/>
          <w:color w:val="auto"/>
          <w:szCs w:val="24"/>
        </w:rPr>
      </w:pPr>
      <w:r>
        <w:rPr>
          <w:rFonts w:hint="eastAsia"/>
          <w:bCs/>
          <w:color w:val="auto"/>
          <w:szCs w:val="24"/>
        </w:rPr>
        <w:t>11. 计量单位（实质性要求）</w:t>
      </w:r>
    </w:p>
    <w:p>
      <w:pPr>
        <w:tabs>
          <w:tab w:val="left" w:pos="720"/>
        </w:tabs>
        <w:spacing w:line="360" w:lineRule="auto"/>
        <w:rPr>
          <w:rFonts w:ascii="宋体" w:hAnsi="宋体"/>
          <w:color w:val="auto"/>
          <w:sz w:val="24"/>
        </w:rPr>
      </w:pPr>
      <w:r>
        <w:rPr>
          <w:rFonts w:hint="eastAsia" w:ascii="宋体" w:hAnsi="宋体"/>
          <w:color w:val="auto"/>
          <w:sz w:val="24"/>
        </w:rPr>
        <w:t>11.1除采购文件中另有规定外，本次采购项目所有合同项下的采购申请均采用国家法定的计量单位。</w:t>
      </w:r>
    </w:p>
    <w:p>
      <w:pPr>
        <w:pStyle w:val="8"/>
        <w:numPr>
          <w:ilvl w:val="0"/>
          <w:numId w:val="9"/>
        </w:numPr>
        <w:tabs>
          <w:tab w:val="left" w:pos="1000"/>
        </w:tabs>
        <w:ind w:firstLine="0"/>
        <w:rPr>
          <w:bCs/>
          <w:color w:val="auto"/>
          <w:szCs w:val="24"/>
        </w:rPr>
      </w:pPr>
      <w:r>
        <w:rPr>
          <w:rFonts w:hint="eastAsia"/>
          <w:bCs/>
          <w:color w:val="auto"/>
          <w:szCs w:val="24"/>
        </w:rPr>
        <w:t>采购货币（实质性要求）</w:t>
      </w:r>
    </w:p>
    <w:p>
      <w:pPr>
        <w:spacing w:line="360" w:lineRule="auto"/>
        <w:rPr>
          <w:rFonts w:ascii="宋体" w:hAnsi="宋体"/>
          <w:color w:val="auto"/>
          <w:sz w:val="24"/>
        </w:rPr>
      </w:pPr>
      <w:r>
        <w:rPr>
          <w:rFonts w:hint="eastAsia" w:ascii="宋体" w:hAnsi="宋体"/>
          <w:color w:val="auto"/>
          <w:sz w:val="24"/>
        </w:rPr>
        <w:t>12.1 本项目采购申请报价采用的币种为人民币。</w:t>
      </w:r>
    </w:p>
    <w:p>
      <w:pPr>
        <w:pStyle w:val="8"/>
        <w:tabs>
          <w:tab w:val="left" w:pos="1000"/>
        </w:tabs>
        <w:ind w:firstLine="0"/>
        <w:rPr>
          <w:bCs/>
          <w:color w:val="auto"/>
          <w:szCs w:val="24"/>
        </w:rPr>
      </w:pPr>
      <w:r>
        <w:rPr>
          <w:rFonts w:hint="eastAsia"/>
          <w:bCs/>
          <w:color w:val="auto"/>
          <w:szCs w:val="24"/>
        </w:rPr>
        <w:t>13. 采购响应有效期（实质性要求）</w:t>
      </w:r>
    </w:p>
    <w:p>
      <w:pPr>
        <w:tabs>
          <w:tab w:val="left" w:pos="720"/>
        </w:tabs>
        <w:spacing w:line="360" w:lineRule="auto"/>
        <w:rPr>
          <w:rFonts w:ascii="宋体" w:hAnsi="宋体"/>
          <w:color w:val="auto"/>
          <w:sz w:val="24"/>
        </w:rPr>
      </w:pPr>
      <w:r>
        <w:rPr>
          <w:rFonts w:hint="eastAsia" w:ascii="宋体" w:hAnsi="宋体"/>
          <w:color w:val="auto"/>
          <w:sz w:val="24"/>
        </w:rPr>
        <w:t>13.1采购响应有效期详见“采购须知前附表”。</w:t>
      </w:r>
    </w:p>
    <w:p>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pPr>
        <w:pStyle w:val="8"/>
        <w:tabs>
          <w:tab w:val="left" w:pos="1000"/>
        </w:tabs>
        <w:ind w:firstLine="0"/>
        <w:rPr>
          <w:bCs/>
          <w:color w:val="auto"/>
          <w:szCs w:val="24"/>
        </w:rPr>
      </w:pPr>
      <w:r>
        <w:rPr>
          <w:rFonts w:hint="eastAsia"/>
          <w:bCs/>
          <w:color w:val="auto"/>
          <w:szCs w:val="24"/>
        </w:rPr>
        <w:t>14. 采购申请文件的份数和签署</w:t>
      </w:r>
    </w:p>
    <w:p>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color w:val="auto"/>
          <w:sz w:val="24"/>
        </w:rPr>
      </w:pPr>
      <w:r>
        <w:rPr>
          <w:rFonts w:hint="eastAsia" w:ascii="宋体" w:hAnsi="宋体"/>
          <w:color w:val="auto"/>
          <w:sz w:val="24"/>
        </w:rPr>
        <w:t>14.3采购申请文件中不许有涂抹或改写。若有修改，须由法定代表人或其代理人签字。</w:t>
      </w:r>
    </w:p>
    <w:p>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14.4不接受电话、传真及电子邮件形式的采购申请文件。</w:t>
      </w:r>
    </w:p>
    <w:p>
      <w:pPr>
        <w:pStyle w:val="7"/>
        <w:rPr>
          <w:rFonts w:ascii="宋体" w:hAnsi="宋体" w:eastAsia="宋体"/>
          <w:b/>
          <w:color w:val="auto"/>
          <w:sz w:val="24"/>
          <w:szCs w:val="24"/>
        </w:rPr>
      </w:pPr>
      <w:r>
        <w:rPr>
          <w:rFonts w:hint="eastAsia" w:ascii="宋体" w:hAnsi="宋体" w:eastAsia="宋体"/>
          <w:b/>
          <w:color w:val="auto"/>
          <w:sz w:val="24"/>
          <w:szCs w:val="24"/>
        </w:rPr>
        <w:t>（五）采购申请文件的递交</w:t>
      </w:r>
    </w:p>
    <w:p>
      <w:pPr>
        <w:pStyle w:val="8"/>
        <w:tabs>
          <w:tab w:val="left" w:pos="1000"/>
        </w:tabs>
        <w:ind w:firstLine="0"/>
        <w:rPr>
          <w:bCs/>
          <w:color w:val="auto"/>
          <w:szCs w:val="24"/>
        </w:rPr>
      </w:pPr>
      <w:r>
        <w:rPr>
          <w:rFonts w:hint="eastAsia"/>
          <w:bCs/>
          <w:color w:val="auto"/>
          <w:szCs w:val="24"/>
        </w:rPr>
        <w:t>15. 采购申请文件的装订、包装、密封及标注</w:t>
      </w:r>
    </w:p>
    <w:p>
      <w:pPr>
        <w:tabs>
          <w:tab w:val="left" w:pos="720"/>
        </w:tabs>
        <w:spacing w:line="360" w:lineRule="auto"/>
        <w:rPr>
          <w:rFonts w:ascii="宋体" w:hAnsi="宋体"/>
          <w:color w:val="auto"/>
          <w:sz w:val="24"/>
        </w:rPr>
      </w:pPr>
      <w:r>
        <w:rPr>
          <w:rFonts w:hint="eastAsia" w:ascii="宋体" w:hAnsi="宋体"/>
          <w:color w:val="auto"/>
          <w:sz w:val="24"/>
        </w:rPr>
        <w:t>15.1采购申请文件应按照“采购须知前附表”的要求进行装订、包装、密封和标注。</w:t>
      </w:r>
    </w:p>
    <w:p>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pPr>
        <w:pStyle w:val="8"/>
        <w:numPr>
          <w:ilvl w:val="0"/>
          <w:numId w:val="10"/>
        </w:numPr>
        <w:tabs>
          <w:tab w:val="left" w:pos="1000"/>
        </w:tabs>
        <w:ind w:firstLine="0"/>
        <w:rPr>
          <w:bCs/>
          <w:color w:val="auto"/>
          <w:szCs w:val="24"/>
        </w:rPr>
      </w:pPr>
      <w:r>
        <w:rPr>
          <w:rFonts w:hint="eastAsia"/>
          <w:bCs/>
          <w:color w:val="auto"/>
          <w:szCs w:val="24"/>
        </w:rPr>
        <w:t>采购申请文件的递交和截止时间</w:t>
      </w:r>
    </w:p>
    <w:p>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pPr>
        <w:pStyle w:val="7"/>
        <w:rPr>
          <w:rFonts w:ascii="宋体" w:hAnsi="宋体" w:eastAsia="宋体"/>
          <w:b/>
          <w:color w:val="auto"/>
          <w:sz w:val="24"/>
          <w:szCs w:val="24"/>
        </w:rPr>
      </w:pPr>
      <w:r>
        <w:rPr>
          <w:rFonts w:hint="eastAsia" w:ascii="宋体" w:hAnsi="宋体" w:eastAsia="宋体"/>
          <w:b/>
          <w:color w:val="auto"/>
          <w:sz w:val="24"/>
          <w:szCs w:val="24"/>
        </w:rPr>
        <w:t>（六）采购会</w:t>
      </w:r>
    </w:p>
    <w:p>
      <w:pPr>
        <w:pStyle w:val="8"/>
        <w:tabs>
          <w:tab w:val="left" w:pos="1000"/>
        </w:tabs>
        <w:ind w:firstLine="0"/>
        <w:rPr>
          <w:bCs/>
          <w:color w:val="auto"/>
          <w:szCs w:val="24"/>
        </w:rPr>
      </w:pPr>
      <w:r>
        <w:rPr>
          <w:rFonts w:hint="eastAsia"/>
          <w:bCs/>
          <w:color w:val="auto"/>
          <w:szCs w:val="24"/>
        </w:rPr>
        <w:t>17. 程序</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pPr>
        <w:pStyle w:val="7"/>
        <w:rPr>
          <w:rFonts w:ascii="宋体" w:hAnsi="宋体" w:eastAsia="宋体"/>
          <w:b/>
          <w:color w:val="auto"/>
          <w:sz w:val="24"/>
          <w:szCs w:val="24"/>
        </w:rPr>
      </w:pPr>
      <w:r>
        <w:rPr>
          <w:rFonts w:hint="eastAsia" w:ascii="宋体" w:hAnsi="宋体" w:eastAsia="宋体"/>
          <w:b/>
          <w:color w:val="auto"/>
          <w:sz w:val="24"/>
          <w:szCs w:val="24"/>
        </w:rPr>
        <w:t>（七）评审</w:t>
      </w:r>
    </w:p>
    <w:p>
      <w:pPr>
        <w:pStyle w:val="8"/>
        <w:tabs>
          <w:tab w:val="left" w:pos="1000"/>
        </w:tabs>
        <w:ind w:firstLine="0"/>
        <w:rPr>
          <w:bCs/>
          <w:color w:val="auto"/>
          <w:szCs w:val="24"/>
        </w:rPr>
      </w:pPr>
      <w:r>
        <w:rPr>
          <w:rFonts w:hint="eastAsia"/>
          <w:bCs/>
          <w:color w:val="auto"/>
          <w:szCs w:val="24"/>
        </w:rPr>
        <w:t>18. 评审原则</w:t>
      </w:r>
    </w:p>
    <w:p>
      <w:pPr>
        <w:tabs>
          <w:tab w:val="left" w:pos="720"/>
        </w:tabs>
        <w:spacing w:line="360" w:lineRule="auto"/>
        <w:rPr>
          <w:rFonts w:ascii="宋体" w:hAnsi="宋体"/>
          <w:color w:val="auto"/>
          <w:sz w:val="24"/>
        </w:rPr>
      </w:pPr>
      <w:r>
        <w:rPr>
          <w:rFonts w:hint="eastAsia" w:ascii="宋体" w:hAnsi="宋体"/>
          <w:color w:val="auto"/>
          <w:sz w:val="24"/>
        </w:rPr>
        <w:t>18.1评审工作由采购人负责组织，具体评审事务由组建的评审委员会负责，评审委员会由三人及以上单数组成。</w:t>
      </w:r>
    </w:p>
    <w:p>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18.2评审工作应遵循公平、公正、科学及择优的原则，并以相同的评审程序和标准对待所有的采购申请人。</w:t>
      </w:r>
    </w:p>
    <w:p>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18.3评委会决定申请文件的响应性，仅依据采购申请文件本身的内容，而不寻求外部的证据。</w:t>
      </w:r>
    </w:p>
    <w:p>
      <w:pPr>
        <w:spacing w:line="360" w:lineRule="auto"/>
        <w:rPr>
          <w:rFonts w:ascii="宋体" w:hAnsi="宋体"/>
          <w:color w:val="auto"/>
          <w:sz w:val="24"/>
        </w:rPr>
      </w:pPr>
      <w:r>
        <w:rPr>
          <w:rFonts w:hint="eastAsia" w:ascii="宋体" w:hAnsi="宋体"/>
          <w:color w:val="auto"/>
          <w:sz w:val="24"/>
        </w:rPr>
        <w:t>18.4评委会发现采购文件表述不明确或需要说明的事项，可提请采购人书面解释说明。</w:t>
      </w:r>
    </w:p>
    <w:p>
      <w:pPr>
        <w:spacing w:line="360" w:lineRule="auto"/>
        <w:rPr>
          <w:rFonts w:ascii="宋体" w:hAnsi="宋体"/>
          <w:color w:val="auto"/>
          <w:sz w:val="24"/>
        </w:rPr>
      </w:pPr>
      <w:r>
        <w:rPr>
          <w:rFonts w:hint="eastAsia" w:ascii="宋体" w:hAnsi="宋体"/>
          <w:color w:val="auto"/>
          <w:sz w:val="24"/>
        </w:rPr>
        <w:t>18.5无论采购评审结果如何，采购人均不解释成交或落选原因，也不退回采购申请文件和其他申请相关资料。</w:t>
      </w:r>
    </w:p>
    <w:p>
      <w:pPr>
        <w:pStyle w:val="7"/>
        <w:rPr>
          <w:rFonts w:ascii="宋体" w:hAnsi="宋体" w:eastAsia="宋体"/>
          <w:b/>
          <w:color w:val="auto"/>
          <w:sz w:val="24"/>
          <w:szCs w:val="24"/>
        </w:rPr>
      </w:pPr>
      <w:r>
        <w:rPr>
          <w:rFonts w:hint="eastAsia" w:ascii="宋体" w:hAnsi="宋体" w:eastAsia="宋体"/>
          <w:b/>
          <w:color w:val="auto"/>
          <w:sz w:val="24"/>
          <w:szCs w:val="24"/>
        </w:rPr>
        <w:t>（八）合同</w:t>
      </w:r>
    </w:p>
    <w:p>
      <w:pPr>
        <w:pStyle w:val="8"/>
        <w:tabs>
          <w:tab w:val="left" w:pos="1000"/>
        </w:tabs>
        <w:ind w:firstLine="0"/>
        <w:rPr>
          <w:bCs/>
          <w:color w:val="auto"/>
          <w:szCs w:val="24"/>
        </w:rPr>
      </w:pPr>
      <w:r>
        <w:rPr>
          <w:rFonts w:hint="eastAsia"/>
          <w:bCs/>
          <w:color w:val="auto"/>
          <w:szCs w:val="24"/>
        </w:rPr>
        <w:t>19. 成交通知书</w:t>
      </w:r>
    </w:p>
    <w:p>
      <w:pPr>
        <w:spacing w:line="360" w:lineRule="auto"/>
        <w:rPr>
          <w:rFonts w:ascii="宋体" w:hAnsi="宋体"/>
          <w:color w:val="auto"/>
          <w:sz w:val="24"/>
        </w:rPr>
      </w:pPr>
      <w:r>
        <w:rPr>
          <w:rFonts w:hint="eastAsia" w:ascii="宋体" w:hAnsi="宋体"/>
          <w:color w:val="auto"/>
          <w:sz w:val="24"/>
        </w:rPr>
        <w:t>19.1 成交通知书为签订合同的依据之一，是合同的有效组成部分。</w:t>
      </w:r>
    </w:p>
    <w:p>
      <w:pPr>
        <w:spacing w:line="360" w:lineRule="auto"/>
        <w:rPr>
          <w:rFonts w:ascii="宋体" w:hAnsi="宋体"/>
          <w:color w:val="auto"/>
          <w:sz w:val="24"/>
        </w:rPr>
      </w:pPr>
      <w:r>
        <w:rPr>
          <w:rFonts w:hint="eastAsia" w:ascii="宋体" w:hAnsi="宋体"/>
          <w:color w:val="auto"/>
          <w:sz w:val="24"/>
        </w:rPr>
        <w:t>19.2 成交通知书对采购人和成交人均具有法律效力。</w:t>
      </w:r>
    </w:p>
    <w:p>
      <w:pPr>
        <w:spacing w:line="360" w:lineRule="auto"/>
        <w:rPr>
          <w:rFonts w:ascii="宋体" w:hAnsi="宋体"/>
          <w:color w:val="auto"/>
          <w:sz w:val="24"/>
        </w:rPr>
      </w:pPr>
      <w:r>
        <w:rPr>
          <w:rFonts w:hint="eastAsia" w:ascii="宋体" w:hAnsi="宋体"/>
          <w:color w:val="auto"/>
          <w:sz w:val="24"/>
        </w:rPr>
        <w:t>19.3结果公告在发出后，</w:t>
      </w:r>
      <w:bookmarkStart w:id="10" w:name="_Toc308164811"/>
      <w:bookmarkStart w:id="11" w:name="_Toc217446065"/>
      <w:r>
        <w:rPr>
          <w:rFonts w:hint="eastAsia" w:ascii="宋体" w:hAnsi="宋体"/>
          <w:color w:val="auto"/>
          <w:sz w:val="24"/>
        </w:rPr>
        <w:t>采购人工作人员将及时通知成交人领取成交通知书。</w:t>
      </w:r>
    </w:p>
    <w:p>
      <w:pPr>
        <w:pStyle w:val="8"/>
        <w:tabs>
          <w:tab w:val="left" w:pos="1000"/>
        </w:tabs>
        <w:ind w:firstLine="0"/>
        <w:rPr>
          <w:bCs/>
          <w:color w:val="auto"/>
          <w:szCs w:val="24"/>
        </w:rPr>
      </w:pPr>
      <w:r>
        <w:rPr>
          <w:rFonts w:hint="eastAsia"/>
          <w:bCs/>
          <w:color w:val="auto"/>
          <w:szCs w:val="24"/>
        </w:rPr>
        <w:t>20. 签订合同</w:t>
      </w:r>
      <w:bookmarkEnd w:id="10"/>
      <w:bookmarkEnd w:id="11"/>
    </w:p>
    <w:p>
      <w:pPr>
        <w:spacing w:line="360" w:lineRule="auto"/>
        <w:rPr>
          <w:rFonts w:ascii="宋体" w:hAnsi="宋体"/>
          <w:color w:val="auto"/>
          <w:sz w:val="24"/>
        </w:rPr>
      </w:pPr>
      <w:r>
        <w:rPr>
          <w:rFonts w:hint="eastAsia" w:ascii="宋体" w:hAnsi="宋体"/>
          <w:color w:val="auto"/>
          <w:sz w:val="24"/>
        </w:rPr>
        <w:t>20.1 成交人应在成交通知书发出后30日内与采购人签订合同。由于成交人的原因未与采购人签订合同的，将视为放弃成交，取消其成交资格。</w:t>
      </w:r>
    </w:p>
    <w:p>
      <w:pPr>
        <w:pStyle w:val="8"/>
        <w:tabs>
          <w:tab w:val="left" w:pos="1000"/>
        </w:tabs>
        <w:ind w:firstLine="0"/>
        <w:rPr>
          <w:bCs/>
          <w:color w:val="auto"/>
          <w:szCs w:val="24"/>
        </w:rPr>
      </w:pPr>
      <w:bookmarkStart w:id="12" w:name="_Toc217446068"/>
      <w:bookmarkStart w:id="13" w:name="_Toc308164812"/>
      <w:r>
        <w:rPr>
          <w:bCs/>
          <w:color w:val="auto"/>
          <w:szCs w:val="24"/>
        </w:rPr>
        <w:t>2</w:t>
      </w:r>
      <w:r>
        <w:rPr>
          <w:rFonts w:hint="eastAsia"/>
          <w:bCs/>
          <w:color w:val="auto"/>
          <w:szCs w:val="24"/>
        </w:rPr>
        <w:t>1. 履约保证金</w:t>
      </w:r>
      <w:bookmarkEnd w:id="12"/>
      <w:bookmarkEnd w:id="13"/>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.3成交人不履行与采购人订立的合同的，履约保证金不予退还，给采购人造成的损失超过履约保证金数额的，还应当对超过部分予以赔偿。</w:t>
      </w:r>
    </w:p>
    <w:p>
      <w:pPr>
        <w:pStyle w:val="8"/>
        <w:tabs>
          <w:tab w:val="left" w:pos="1000"/>
        </w:tabs>
        <w:ind w:firstLine="0"/>
        <w:rPr>
          <w:bCs/>
          <w:color w:val="auto"/>
          <w:szCs w:val="24"/>
        </w:rPr>
      </w:pPr>
      <w:r>
        <w:rPr>
          <w:rFonts w:hint="eastAsia"/>
          <w:bCs/>
          <w:color w:val="auto"/>
          <w:szCs w:val="24"/>
        </w:rPr>
        <w:t>2</w:t>
      </w:r>
      <w:r>
        <w:rPr>
          <w:bCs/>
          <w:color w:val="auto"/>
          <w:szCs w:val="24"/>
        </w:rPr>
        <w:t>2</w:t>
      </w:r>
      <w:r>
        <w:rPr>
          <w:rFonts w:hint="eastAsia"/>
          <w:bCs/>
          <w:color w:val="auto"/>
          <w:szCs w:val="24"/>
        </w:rPr>
        <w:t>. 履行合同</w:t>
      </w:r>
    </w:p>
    <w:p>
      <w:pPr>
        <w:spacing w:line="360" w:lineRule="auto"/>
        <w:rPr>
          <w:rFonts w:ascii="宋体" w:hAnsi="宋体"/>
          <w:color w:val="auto"/>
          <w:sz w:val="24"/>
        </w:rPr>
      </w:pPr>
      <w:r>
        <w:rPr>
          <w:rFonts w:hint="eastAsia" w:ascii="宋体" w:hAnsi="宋体"/>
          <w:color w:val="auto"/>
          <w:sz w:val="24"/>
        </w:rPr>
        <w:t>22.1成交人与采购人签订合同后，合同双方应严格执行合同条款，履行合同规定的义务，保证合同的顺利完成。</w:t>
      </w:r>
    </w:p>
    <w:p>
      <w:pPr>
        <w:spacing w:line="360" w:lineRule="auto"/>
        <w:rPr>
          <w:rFonts w:ascii="宋体" w:hAnsi="宋体"/>
          <w:color w:val="auto"/>
          <w:sz w:val="24"/>
        </w:rPr>
      </w:pPr>
      <w:r>
        <w:rPr>
          <w:rFonts w:hint="eastAsia" w:ascii="宋体" w:hAnsi="宋体"/>
          <w:color w:val="auto"/>
          <w:sz w:val="24"/>
        </w:rPr>
        <w:t>22.2在合同履行过程中，如发生合同纠纷，合同双方应按照《中华人民共和国民法典》的有关规定进行处理。</w:t>
      </w:r>
    </w:p>
    <w:p>
      <w:pPr>
        <w:pStyle w:val="8"/>
        <w:tabs>
          <w:tab w:val="left" w:pos="1000"/>
        </w:tabs>
        <w:ind w:firstLine="0"/>
        <w:rPr>
          <w:bCs/>
          <w:color w:val="auto"/>
          <w:szCs w:val="24"/>
        </w:rPr>
      </w:pPr>
      <w:bookmarkStart w:id="14" w:name="_Toc308164814"/>
      <w:bookmarkStart w:id="15" w:name="_Toc217446070"/>
      <w:r>
        <w:rPr>
          <w:rFonts w:hint="eastAsia"/>
          <w:bCs/>
          <w:color w:val="auto"/>
          <w:szCs w:val="24"/>
        </w:rPr>
        <w:t>23. 验收</w:t>
      </w:r>
      <w:bookmarkEnd w:id="14"/>
      <w:bookmarkEnd w:id="15"/>
    </w:p>
    <w:p>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3.1本项目采购人将严格按照本项目采购文件的要求或成交人采购申请文件的承诺及响应内容进行验收。</w:t>
      </w:r>
    </w:p>
    <w:p>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pPr>
        <w:pStyle w:val="39"/>
        <w:rPr>
          <w:color w:val="auto"/>
        </w:rPr>
      </w:pPr>
      <w:r>
        <w:rPr>
          <w:rFonts w:ascii="宋体" w:hAnsi="宋体"/>
          <w:color w:val="auto"/>
          <w:sz w:val="24"/>
        </w:rPr>
        <w:br w:type="page"/>
      </w:r>
      <w:bookmarkStart w:id="16" w:name="_Toc150831011"/>
      <w:bookmarkStart w:id="17" w:name="_Toc146532506"/>
      <w:bookmarkStart w:id="18" w:name="_Toc17939"/>
      <w:r>
        <w:rPr>
          <w:rFonts w:hint="eastAsia"/>
          <w:color w:val="auto"/>
        </w:rPr>
        <w:t>第三章  采购申请文件格式</w:t>
      </w:r>
      <w:bookmarkEnd w:id="16"/>
      <w:bookmarkEnd w:id="17"/>
      <w:bookmarkEnd w:id="18"/>
    </w:p>
    <w:p>
      <w:pPr>
        <w:tabs>
          <w:tab w:val="left" w:pos="432"/>
        </w:tabs>
        <w:jc w:val="center"/>
        <w:outlineLvl w:val="0"/>
        <w:rPr>
          <w:rFonts w:ascii="华文中宋" w:hAnsi="华文中宋" w:eastAsia="华文中宋"/>
          <w:b/>
          <w:color w:val="auto"/>
          <w:sz w:val="36"/>
          <w:szCs w:val="36"/>
        </w:rPr>
      </w:pPr>
    </w:p>
    <w:p>
      <w:pPr>
        <w:pStyle w:val="14"/>
        <w:rPr>
          <w:rFonts w:ascii="宋体" w:hAnsi="宋体"/>
          <w:b/>
          <w:color w:val="auto"/>
          <w:sz w:val="28"/>
          <w:szCs w:val="28"/>
        </w:rPr>
      </w:pPr>
      <w:r>
        <w:rPr>
          <w:rFonts w:hint="eastAsia" w:ascii="宋体" w:hAnsi="宋体"/>
          <w:b/>
          <w:color w:val="auto"/>
          <w:sz w:val="28"/>
          <w:szCs w:val="28"/>
        </w:rPr>
        <w:t>封面</w:t>
      </w:r>
    </w:p>
    <w:p>
      <w:pPr>
        <w:pStyle w:val="14"/>
        <w:rPr>
          <w:rFonts w:ascii="宋体" w:hAnsi="宋体"/>
          <w:b/>
          <w:color w:val="auto"/>
          <w:sz w:val="24"/>
          <w:szCs w:val="24"/>
        </w:rPr>
      </w:pPr>
    </w:p>
    <w:p>
      <w:pPr>
        <w:pStyle w:val="14"/>
        <w:rPr>
          <w:rFonts w:ascii="宋体" w:hAnsi="宋体"/>
          <w:b/>
          <w:color w:val="auto"/>
          <w:sz w:val="24"/>
          <w:szCs w:val="24"/>
        </w:rPr>
      </w:pPr>
    </w:p>
    <w:p>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pPr>
        <w:spacing w:line="480" w:lineRule="exact"/>
        <w:jc w:val="center"/>
        <w:rPr>
          <w:rFonts w:ascii="宋体" w:hAnsi="宋体"/>
          <w:b/>
          <w:color w:val="auto"/>
          <w:sz w:val="48"/>
          <w:szCs w:val="48"/>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pPr>
        <w:spacing w:line="480" w:lineRule="exact"/>
        <w:ind w:firstLine="482" w:firstLineChars="200"/>
        <w:jc w:val="center"/>
        <w:rPr>
          <w:rFonts w:ascii="宋体" w:hAnsi="宋体"/>
          <w:b/>
          <w:color w:val="auto"/>
          <w:sz w:val="24"/>
        </w:rPr>
      </w:pPr>
    </w:p>
    <w:p>
      <w:pPr>
        <w:spacing w:line="480" w:lineRule="exact"/>
        <w:ind w:firstLine="200"/>
        <w:jc w:val="center"/>
        <w:rPr>
          <w:rFonts w:ascii="宋体" w:hAnsi="宋体"/>
          <w:b/>
          <w:color w:val="auto"/>
          <w:sz w:val="24"/>
          <w:u w:val="single"/>
        </w:rPr>
      </w:pPr>
    </w:p>
    <w:p>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pPr>
        <w:spacing w:line="360" w:lineRule="auto"/>
        <w:jc w:val="center"/>
        <w:rPr>
          <w:rFonts w:ascii="黑体" w:hAnsi="黑体" w:eastAsia="黑体"/>
          <w:b/>
          <w:bCs/>
          <w:color w:val="auto"/>
          <w:sz w:val="28"/>
          <w:szCs w:val="28"/>
        </w:rPr>
      </w:pPr>
      <w:bookmarkStart w:id="20" w:name="_Toc325028467"/>
      <w:bookmarkStart w:id="21" w:name="_Toc476736016"/>
      <w:bookmarkStart w:id="22" w:name="_Toc453578485"/>
      <w:r>
        <w:rPr>
          <w:rFonts w:hint="eastAsia" w:ascii="黑体" w:hAnsi="黑体" w:eastAsia="黑体"/>
          <w:b/>
          <w:bCs/>
          <w:color w:val="auto"/>
          <w:sz w:val="28"/>
          <w:szCs w:val="28"/>
        </w:rPr>
        <w:t>格式一、采购申请函</w:t>
      </w:r>
      <w:bookmarkEnd w:id="20"/>
      <w:bookmarkEnd w:id="21"/>
      <w:bookmarkEnd w:id="22"/>
    </w:p>
    <w:p>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color w:val="auto"/>
          <w:sz w:val="24"/>
        </w:rPr>
      </w:pPr>
      <w:r>
        <w:rPr>
          <w:rFonts w:ascii="宋体" w:hAnsi="宋体" w:cs="Arial"/>
          <w:color w:val="auto"/>
          <w:sz w:val="24"/>
        </w:rPr>
        <w:t>8</w:t>
      </w:r>
      <w:r>
        <w:rPr>
          <w:rFonts w:hint="eastAsia" w:ascii="宋体" w:hAnsi="宋体" w:cs="Arial"/>
          <w:color w:val="auto"/>
          <w:sz w:val="24"/>
        </w:rPr>
        <w:t>、一旦我方成交，我方将严格履行本项目合同规定的责任和义务。</w:t>
      </w:r>
    </w:p>
    <w:p>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pPr>
        <w:spacing w:line="360" w:lineRule="auto"/>
        <w:ind w:firstLine="240"/>
        <w:rPr>
          <w:rFonts w:ascii="宋体" w:hAnsi="宋体" w:cs="Arial"/>
          <w:color w:val="auto"/>
          <w:sz w:val="24"/>
        </w:rPr>
      </w:pPr>
      <w:r>
        <w:rPr>
          <w:rFonts w:ascii="宋体" w:hAnsi="宋体" w:cs="Arial"/>
          <w:color w:val="auto"/>
          <w:sz w:val="24"/>
        </w:rPr>
        <w:t>电话：</w:t>
      </w:r>
    </w:p>
    <w:p>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pPr>
        <w:spacing w:line="360" w:lineRule="auto"/>
        <w:ind w:firstLine="420" w:firstLineChars="200"/>
        <w:rPr>
          <w:rFonts w:hAnsi="宋体"/>
          <w:color w:val="auto"/>
        </w:rPr>
      </w:pPr>
    </w:p>
    <w:p>
      <w:pPr>
        <w:spacing w:line="360" w:lineRule="auto"/>
        <w:ind w:firstLine="480" w:firstLineChars="200"/>
        <w:rPr>
          <w:rFonts w:hAnsi="宋体"/>
          <w:color w:val="auto"/>
          <w:sz w:val="24"/>
        </w:rPr>
      </w:pPr>
      <w:r>
        <w:rPr>
          <w:rFonts w:hint="eastAsia" w:hAnsi="宋体"/>
          <w:color w:val="auto"/>
          <w:sz w:val="24"/>
        </w:rPr>
        <w:t>采购申请人名称：</w:t>
      </w:r>
    </w:p>
    <w:p>
      <w:pPr>
        <w:spacing w:line="360" w:lineRule="auto"/>
        <w:ind w:firstLine="480" w:firstLineChars="200"/>
        <w:rPr>
          <w:rFonts w:hAnsi="宋体"/>
          <w:color w:val="auto"/>
          <w:sz w:val="24"/>
        </w:rPr>
      </w:pPr>
      <w:r>
        <w:rPr>
          <w:rFonts w:hint="eastAsia" w:hAnsi="宋体"/>
          <w:color w:val="auto"/>
          <w:sz w:val="24"/>
        </w:rPr>
        <w:t>单位性质：</w:t>
      </w:r>
    </w:p>
    <w:p>
      <w:pPr>
        <w:spacing w:line="360" w:lineRule="auto"/>
        <w:ind w:firstLine="480" w:firstLineChars="200"/>
        <w:rPr>
          <w:rFonts w:hAnsi="宋体"/>
          <w:color w:val="auto"/>
          <w:sz w:val="24"/>
        </w:rPr>
      </w:pPr>
      <w:r>
        <w:rPr>
          <w:rFonts w:hint="eastAsia" w:hAnsi="宋体"/>
          <w:color w:val="auto"/>
          <w:sz w:val="24"/>
        </w:rPr>
        <w:t>成立时间：年月日</w:t>
      </w:r>
    </w:p>
    <w:p>
      <w:pPr>
        <w:spacing w:line="360" w:lineRule="auto"/>
        <w:ind w:firstLine="480" w:firstLineChars="200"/>
        <w:rPr>
          <w:rFonts w:hAnsi="宋体"/>
          <w:color w:val="auto"/>
          <w:sz w:val="24"/>
        </w:rPr>
      </w:pPr>
      <w:r>
        <w:rPr>
          <w:rFonts w:hint="eastAsia" w:hAnsi="宋体"/>
          <w:color w:val="auto"/>
          <w:sz w:val="24"/>
        </w:rPr>
        <w:t>经营期限：</w:t>
      </w:r>
    </w:p>
    <w:p>
      <w:pPr>
        <w:spacing w:line="360" w:lineRule="auto"/>
        <w:ind w:firstLine="480" w:firstLineChars="200"/>
        <w:rPr>
          <w:rFonts w:hAnsi="宋体"/>
          <w:color w:val="auto"/>
          <w:sz w:val="24"/>
        </w:rPr>
      </w:pPr>
      <w:r>
        <w:rPr>
          <w:rFonts w:hint="eastAsia" w:hAnsi="宋体"/>
          <w:color w:val="auto"/>
          <w:sz w:val="24"/>
        </w:rPr>
        <w:t>姓名：性别：年龄：职务：</w:t>
      </w:r>
    </w:p>
    <w:p>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pPr>
        <w:spacing w:line="360" w:lineRule="auto"/>
        <w:ind w:firstLine="960" w:firstLineChars="400"/>
        <w:rPr>
          <w:rFonts w:hAnsi="宋体"/>
          <w:color w:val="auto"/>
          <w:sz w:val="24"/>
        </w:rPr>
      </w:pPr>
      <w:r>
        <w:rPr>
          <w:rFonts w:hint="eastAsia" w:hAnsi="宋体"/>
          <w:color w:val="auto"/>
          <w:sz w:val="24"/>
        </w:rPr>
        <w:t>特此证明。</w:t>
      </w:r>
    </w:p>
    <w:p>
      <w:pPr>
        <w:spacing w:line="360" w:lineRule="auto"/>
        <w:ind w:firstLine="480" w:firstLineChars="200"/>
        <w:rPr>
          <w:rFonts w:hAnsi="宋体"/>
          <w:color w:val="auto"/>
          <w:sz w:val="24"/>
        </w:rPr>
      </w:pPr>
    </w:p>
    <w:p>
      <w:pPr>
        <w:spacing w:line="360" w:lineRule="auto"/>
        <w:ind w:firstLine="4920" w:firstLineChars="2050"/>
        <w:rPr>
          <w:rFonts w:hAnsi="宋体"/>
          <w:color w:val="auto"/>
          <w:sz w:val="24"/>
        </w:rPr>
      </w:pPr>
    </w:p>
    <w:p>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pPr>
        <w:spacing w:line="360" w:lineRule="auto"/>
        <w:ind w:firstLine="484" w:firstLineChars="202"/>
        <w:jc w:val="left"/>
        <w:rPr>
          <w:rFonts w:hAnsi="宋体"/>
          <w:color w:val="auto"/>
          <w:sz w:val="24"/>
        </w:rPr>
      </w:pPr>
      <w:r>
        <w:rPr>
          <w:rFonts w:hint="eastAsia" w:hAnsi="宋体"/>
          <w:color w:val="auto"/>
          <w:sz w:val="24"/>
        </w:rPr>
        <w:t>日期：年月日</w:t>
      </w:r>
    </w:p>
    <w:p>
      <w:pPr>
        <w:spacing w:line="360" w:lineRule="auto"/>
        <w:ind w:firstLine="484" w:firstLineChars="202"/>
        <w:jc w:val="left"/>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r>
        <w:rPr>
          <w:rFonts w:hint="eastAsia" w:hAnsi="宋体"/>
          <w:color w:val="auto"/>
          <w:sz w:val="24"/>
        </w:rPr>
        <w:t>注：</w:t>
      </w:r>
    </w:p>
    <w:p>
      <w:pPr>
        <w:spacing w:line="360" w:lineRule="auto"/>
        <w:ind w:firstLine="960" w:firstLineChars="400"/>
        <w:rPr>
          <w:rFonts w:hAnsi="宋体"/>
          <w:color w:val="auto"/>
          <w:sz w:val="24"/>
        </w:rPr>
      </w:pPr>
      <w:r>
        <w:rPr>
          <w:rFonts w:hint="eastAsia" w:hAnsi="宋体"/>
          <w:color w:val="auto"/>
          <w:sz w:val="24"/>
        </w:rPr>
        <w:t>1.须附法定代表人的身份证复印件（提供正反面）；</w:t>
      </w:r>
    </w:p>
    <w:p>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pPr>
        <w:spacing w:line="400" w:lineRule="exact"/>
        <w:jc w:val="center"/>
        <w:rPr>
          <w:rFonts w:hAnsi="宋体"/>
          <w:b/>
          <w:bCs/>
          <w:color w:val="auto"/>
          <w:sz w:val="44"/>
          <w:szCs w:val="44"/>
        </w:rPr>
      </w:pPr>
    </w:p>
    <w:p>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（填采购单位名称）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pPr>
        <w:spacing w:line="360" w:lineRule="auto"/>
        <w:ind w:firstLine="480" w:firstLineChars="200"/>
        <w:rPr>
          <w:rFonts w:hAnsi="宋体"/>
          <w:color w:val="auto"/>
          <w:sz w:val="24"/>
        </w:rPr>
      </w:pPr>
      <w:r>
        <w:rPr>
          <w:rFonts w:hint="eastAsia" w:hAnsi="宋体"/>
          <w:color w:val="auto"/>
          <w:sz w:val="24"/>
        </w:rPr>
        <w:t>特此声明。</w:t>
      </w: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u w:val="single"/>
        </w:rPr>
      </w:pPr>
      <w:r>
        <w:rPr>
          <w:rFonts w:hint="eastAsia" w:hAnsi="宋体"/>
          <w:color w:val="auto"/>
          <w:sz w:val="24"/>
        </w:rPr>
        <w:t>法定代表人签字：</w:t>
      </w:r>
    </w:p>
    <w:p>
      <w:pPr>
        <w:spacing w:line="400" w:lineRule="exact"/>
        <w:ind w:firstLine="480" w:firstLineChars="200"/>
        <w:rPr>
          <w:rFonts w:hAnsi="宋体"/>
          <w:color w:val="auto"/>
          <w:sz w:val="24"/>
          <w:u w:val="single"/>
        </w:rPr>
      </w:pPr>
      <w:r>
        <w:rPr>
          <w:rFonts w:hint="eastAsia" w:hAnsi="宋体"/>
          <w:color w:val="auto"/>
          <w:sz w:val="24"/>
        </w:rPr>
        <w:t>授权代理人签字：</w:t>
      </w:r>
    </w:p>
    <w:p>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pPr>
        <w:spacing w:line="400" w:lineRule="exact"/>
        <w:rPr>
          <w:rFonts w:hAnsi="宋体"/>
          <w:color w:val="auto"/>
          <w:sz w:val="32"/>
          <w:szCs w:val="32"/>
        </w:rPr>
      </w:pPr>
    </w:p>
    <w:p>
      <w:pPr>
        <w:spacing w:line="400" w:lineRule="exact"/>
        <w:ind w:left="840" w:hanging="840" w:hangingChars="350"/>
        <w:jc w:val="left"/>
        <w:rPr>
          <w:rFonts w:hAnsi="宋体"/>
          <w:color w:val="auto"/>
          <w:sz w:val="24"/>
        </w:rPr>
      </w:pPr>
      <w:r>
        <w:rPr>
          <w:rFonts w:hint="eastAsia" w:hAnsi="宋体"/>
          <w:color w:val="auto"/>
          <w:sz w:val="24"/>
        </w:rPr>
        <w:t>注：</w:t>
      </w:r>
    </w:p>
    <w:p>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63753600"/>
      <w:bookmarkEnd w:id="30"/>
      <w:bookmarkStart w:id="31" w:name="_Toc256175382"/>
      <w:bookmarkEnd w:id="31"/>
      <w:bookmarkStart w:id="32" w:name="_Toc237145385"/>
      <w:bookmarkEnd w:id="32"/>
      <w:bookmarkStart w:id="33" w:name="_Toc297204985"/>
      <w:bookmarkEnd w:id="33"/>
      <w:bookmarkStart w:id="34" w:name="_Toc250041691"/>
      <w:bookmarkEnd w:id="34"/>
    </w:p>
    <w:p>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rPr>
                <w:rFonts w:ascii="宋体" w:hAnsi="宋体" w:cs="宋体"/>
                <w:color w:val="auto"/>
                <w:sz w:val="24"/>
              </w:rPr>
            </w:pPr>
            <w:r>
              <w:rPr>
                <w:rFonts w:hint="eastAsia" w:ascii="宋体" w:hAnsi="宋体" w:cs="宋体"/>
                <w:color w:val="auto"/>
                <w:sz w:val="24"/>
              </w:rPr>
              <w:t>序号</w:t>
            </w:r>
          </w:p>
        </w:tc>
        <w:tc>
          <w:tcPr>
            <w:tcW w:w="766" w:type="dxa"/>
            <w:vAlign w:val="center"/>
          </w:tcPr>
          <w:p>
            <w:pPr>
              <w:rPr>
                <w:rFonts w:ascii="宋体" w:hAnsi="宋体" w:cs="宋体"/>
                <w:color w:val="auto"/>
                <w:sz w:val="24"/>
              </w:rPr>
            </w:pPr>
            <w:r>
              <w:rPr>
                <w:rFonts w:hint="eastAsia" w:ascii="宋体" w:hAnsi="宋体" w:cs="宋体"/>
                <w:color w:val="auto"/>
                <w:sz w:val="24"/>
              </w:rPr>
              <w:t>货物名称</w:t>
            </w:r>
          </w:p>
        </w:tc>
        <w:tc>
          <w:tcPr>
            <w:tcW w:w="1440" w:type="dxa"/>
            <w:vAlign w:val="center"/>
          </w:tcPr>
          <w:p>
            <w:pPr>
              <w:rPr>
                <w:rFonts w:ascii="宋体" w:hAnsi="宋体" w:cs="宋体"/>
                <w:color w:val="auto"/>
                <w:sz w:val="24"/>
              </w:rPr>
            </w:pPr>
            <w:r>
              <w:rPr>
                <w:rFonts w:hint="eastAsia" w:ascii="宋体" w:hAnsi="宋体" w:cs="宋体"/>
                <w:color w:val="auto"/>
                <w:sz w:val="24"/>
              </w:rPr>
              <w:t>制造商家及规格型号</w:t>
            </w:r>
          </w:p>
        </w:tc>
        <w:tc>
          <w:tcPr>
            <w:tcW w:w="720" w:type="dxa"/>
            <w:vAlign w:val="center"/>
          </w:tcPr>
          <w:p>
            <w:pPr>
              <w:rPr>
                <w:rFonts w:ascii="宋体" w:hAnsi="宋体" w:cs="宋体"/>
                <w:color w:val="auto"/>
                <w:sz w:val="24"/>
              </w:rPr>
            </w:pPr>
            <w:r>
              <w:rPr>
                <w:rFonts w:hint="eastAsia" w:ascii="宋体" w:hAnsi="宋体" w:cs="宋体"/>
                <w:color w:val="auto"/>
                <w:sz w:val="24"/>
              </w:rPr>
              <w:t>数量</w:t>
            </w:r>
          </w:p>
        </w:tc>
        <w:tc>
          <w:tcPr>
            <w:tcW w:w="1260" w:type="dxa"/>
            <w:vAlign w:val="center"/>
          </w:tcPr>
          <w:p>
            <w:pPr>
              <w:rPr>
                <w:rFonts w:ascii="宋体" w:hAnsi="宋体" w:cs="宋体"/>
                <w:color w:val="auto"/>
                <w:sz w:val="24"/>
              </w:rPr>
            </w:pPr>
            <w:r>
              <w:rPr>
                <w:rFonts w:hint="eastAsia" w:ascii="宋体" w:hAnsi="宋体" w:cs="宋体"/>
                <w:color w:val="auto"/>
                <w:sz w:val="24"/>
              </w:rPr>
              <w:t>投标单价</w:t>
            </w:r>
          </w:p>
          <w:p>
            <w:pPr>
              <w:rPr>
                <w:rFonts w:ascii="宋体" w:hAnsi="宋体" w:cs="宋体"/>
                <w:color w:val="auto"/>
                <w:sz w:val="24"/>
              </w:rPr>
            </w:pPr>
            <w:r>
              <w:rPr>
                <w:rFonts w:hint="eastAsia" w:ascii="宋体" w:hAnsi="宋体" w:cs="宋体"/>
                <w:color w:val="auto"/>
                <w:sz w:val="24"/>
              </w:rPr>
              <w:t>（万元）</w:t>
            </w:r>
          </w:p>
        </w:tc>
        <w:tc>
          <w:tcPr>
            <w:tcW w:w="1260" w:type="dxa"/>
            <w:vAlign w:val="center"/>
          </w:tcPr>
          <w:p>
            <w:pPr>
              <w:rPr>
                <w:rFonts w:ascii="宋体" w:hAnsi="宋体" w:cs="宋体"/>
                <w:color w:val="auto"/>
                <w:sz w:val="24"/>
              </w:rPr>
            </w:pPr>
            <w:r>
              <w:rPr>
                <w:rFonts w:hint="eastAsia" w:ascii="宋体" w:hAnsi="宋体" w:cs="宋体"/>
                <w:color w:val="auto"/>
                <w:sz w:val="24"/>
              </w:rPr>
              <w:t>投标总价</w:t>
            </w:r>
          </w:p>
          <w:p>
            <w:pPr>
              <w:rPr>
                <w:rFonts w:ascii="宋体" w:hAnsi="宋体" w:cs="宋体"/>
                <w:color w:val="auto"/>
                <w:sz w:val="24"/>
              </w:rPr>
            </w:pPr>
            <w:r>
              <w:rPr>
                <w:rFonts w:hint="eastAsia" w:ascii="宋体" w:hAnsi="宋体" w:cs="宋体"/>
                <w:color w:val="auto"/>
                <w:sz w:val="24"/>
              </w:rPr>
              <w:t>（万元）</w:t>
            </w:r>
          </w:p>
        </w:tc>
        <w:tc>
          <w:tcPr>
            <w:tcW w:w="900" w:type="dxa"/>
            <w:vAlign w:val="center"/>
          </w:tcPr>
          <w:p>
            <w:pPr>
              <w:rPr>
                <w:rFonts w:ascii="宋体" w:hAnsi="宋体" w:cs="宋体"/>
                <w:color w:val="auto"/>
                <w:sz w:val="24"/>
              </w:rPr>
            </w:pPr>
            <w:r>
              <w:rPr>
                <w:rFonts w:hint="eastAsia" w:ascii="宋体" w:hAnsi="宋体" w:cs="宋体"/>
                <w:color w:val="auto"/>
                <w:sz w:val="24"/>
              </w:rPr>
              <w:t>交货</w:t>
            </w:r>
          </w:p>
          <w:p>
            <w:pPr>
              <w:rPr>
                <w:rFonts w:ascii="宋体" w:hAnsi="宋体" w:cs="宋体"/>
                <w:color w:val="auto"/>
                <w:sz w:val="24"/>
              </w:rPr>
            </w:pPr>
            <w:r>
              <w:rPr>
                <w:rFonts w:hint="eastAsia" w:ascii="宋体" w:hAnsi="宋体" w:cs="宋体"/>
                <w:color w:val="auto"/>
                <w:sz w:val="24"/>
              </w:rPr>
              <w:t>时间</w:t>
            </w:r>
          </w:p>
        </w:tc>
        <w:tc>
          <w:tcPr>
            <w:tcW w:w="1260" w:type="dxa"/>
            <w:vAlign w:val="center"/>
          </w:tcPr>
          <w:p>
            <w:pPr>
              <w:rPr>
                <w:rFonts w:ascii="宋体" w:hAnsi="宋体" w:cs="宋体"/>
                <w:color w:val="auto"/>
                <w:sz w:val="24"/>
              </w:rPr>
            </w:pPr>
            <w:r>
              <w:rPr>
                <w:rFonts w:hint="eastAsia" w:ascii="宋体" w:hAnsi="宋体" w:cs="宋体"/>
                <w:color w:val="auto"/>
                <w:sz w:val="24"/>
              </w:rPr>
              <w:t>是否属于进口产品</w:t>
            </w:r>
          </w:p>
        </w:tc>
        <w:tc>
          <w:tcPr>
            <w:tcW w:w="902" w:type="dxa"/>
            <w:vAlign w:val="center"/>
          </w:tcPr>
          <w:p>
            <w:pP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rPr>
                <w:rFonts w:ascii="宋体" w:hAnsi="宋体" w:cs="宋体"/>
                <w:color w:val="auto"/>
                <w:sz w:val="24"/>
              </w:rPr>
            </w:pPr>
          </w:p>
        </w:tc>
        <w:tc>
          <w:tcPr>
            <w:tcW w:w="766" w:type="dxa"/>
            <w:vAlign w:val="center"/>
          </w:tcPr>
          <w:p>
            <w:pPr>
              <w:rPr>
                <w:rFonts w:ascii="宋体" w:hAnsi="宋体" w:cs="宋体"/>
                <w:color w:val="auto"/>
                <w:sz w:val="24"/>
              </w:rPr>
            </w:pPr>
          </w:p>
        </w:tc>
        <w:tc>
          <w:tcPr>
            <w:tcW w:w="1440" w:type="dxa"/>
            <w:vAlign w:val="center"/>
          </w:tcPr>
          <w:p>
            <w:pPr>
              <w:rPr>
                <w:rFonts w:ascii="宋体" w:hAnsi="宋体" w:cs="宋体"/>
                <w:color w:val="auto"/>
                <w:sz w:val="24"/>
              </w:rPr>
            </w:pPr>
          </w:p>
        </w:tc>
        <w:tc>
          <w:tcPr>
            <w:tcW w:w="72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2"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rPr>
                <w:rFonts w:ascii="宋体" w:hAnsi="宋体" w:cs="宋体"/>
                <w:color w:val="auto"/>
                <w:sz w:val="24"/>
              </w:rPr>
            </w:pPr>
          </w:p>
        </w:tc>
        <w:tc>
          <w:tcPr>
            <w:tcW w:w="766" w:type="dxa"/>
            <w:vAlign w:val="center"/>
          </w:tcPr>
          <w:p>
            <w:pPr>
              <w:rPr>
                <w:rFonts w:ascii="宋体" w:hAnsi="宋体" w:cs="宋体"/>
                <w:color w:val="auto"/>
                <w:sz w:val="24"/>
              </w:rPr>
            </w:pPr>
          </w:p>
        </w:tc>
        <w:tc>
          <w:tcPr>
            <w:tcW w:w="1440" w:type="dxa"/>
            <w:vAlign w:val="center"/>
          </w:tcPr>
          <w:p>
            <w:pPr>
              <w:rPr>
                <w:rFonts w:ascii="宋体" w:hAnsi="宋体" w:cs="宋体"/>
                <w:color w:val="auto"/>
                <w:sz w:val="24"/>
              </w:rPr>
            </w:pPr>
          </w:p>
        </w:tc>
        <w:tc>
          <w:tcPr>
            <w:tcW w:w="72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2"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rPr>
                <w:rFonts w:ascii="宋体" w:hAnsi="宋体" w:cs="宋体"/>
                <w:color w:val="auto"/>
                <w:sz w:val="24"/>
              </w:rPr>
            </w:pPr>
          </w:p>
        </w:tc>
        <w:tc>
          <w:tcPr>
            <w:tcW w:w="766" w:type="dxa"/>
            <w:tcBorders>
              <w:left w:val="single" w:color="auto" w:sz="4" w:space="0"/>
            </w:tcBorders>
            <w:vAlign w:val="center"/>
          </w:tcPr>
          <w:p>
            <w:pPr>
              <w:rPr>
                <w:rFonts w:ascii="宋体" w:hAnsi="宋体" w:cs="宋体"/>
                <w:color w:val="auto"/>
                <w:sz w:val="24"/>
              </w:rPr>
            </w:pPr>
          </w:p>
        </w:tc>
        <w:tc>
          <w:tcPr>
            <w:tcW w:w="1440" w:type="dxa"/>
            <w:vAlign w:val="center"/>
          </w:tcPr>
          <w:p>
            <w:pPr>
              <w:rPr>
                <w:rFonts w:ascii="宋体" w:hAnsi="宋体" w:cs="宋体"/>
                <w:color w:val="auto"/>
                <w:sz w:val="24"/>
              </w:rPr>
            </w:pPr>
          </w:p>
        </w:tc>
        <w:tc>
          <w:tcPr>
            <w:tcW w:w="72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2"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rPr>
                <w:rFonts w:ascii="宋体" w:hAnsi="宋体" w:cs="宋体"/>
                <w:color w:val="auto"/>
                <w:sz w:val="24"/>
              </w:rPr>
            </w:pPr>
          </w:p>
        </w:tc>
        <w:tc>
          <w:tcPr>
            <w:tcW w:w="8508" w:type="dxa"/>
            <w:gridSpan w:val="8"/>
            <w:tcBorders>
              <w:left w:val="single" w:color="auto" w:sz="4" w:space="0"/>
              <w:bottom w:val="single" w:color="auto" w:sz="4" w:space="0"/>
            </w:tcBorders>
          </w:tcPr>
          <w:p>
            <w:pPr>
              <w:rPr>
                <w:rFonts w:ascii="宋体" w:hAnsi="宋体" w:cs="宋体"/>
                <w:color w:val="auto"/>
                <w:sz w:val="24"/>
              </w:rPr>
            </w:pPr>
            <w:r>
              <w:rPr>
                <w:rFonts w:hint="eastAsia" w:ascii="宋体" w:hAnsi="宋体" w:cs="宋体"/>
                <w:color w:val="auto"/>
                <w:sz w:val="24"/>
              </w:rPr>
              <w:t>报价合计（万元）：          大写：</w:t>
            </w:r>
          </w:p>
        </w:tc>
      </w:tr>
    </w:tbl>
    <w:p>
      <w:pPr>
        <w:ind w:firstLine="249" w:firstLineChars="100"/>
        <w:rPr>
          <w:rFonts w:ascii="宋体" w:hAnsi="宋体" w:cs="宋体"/>
          <w:color w:val="auto"/>
          <w:sz w:val="24"/>
        </w:rPr>
      </w:pPr>
      <w:r>
        <w:rPr>
          <w:rFonts w:hint="eastAsia" w:ascii="宋体" w:hAnsi="宋体" w:cs="宋体"/>
          <w:color w:val="auto"/>
          <w:sz w:val="24"/>
        </w:rPr>
        <w:t>注：1. 报价应是最终用户验收合格后的总价，包括设备运输、保险、代理、安装调试、培训、税费和招标文件规定的其它费用。</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采购申请人：（盖单位章）</w:t>
      </w:r>
    </w:p>
    <w:p>
      <w:pPr>
        <w:rPr>
          <w:rFonts w:ascii="宋体" w:hAnsi="宋体" w:cs="宋体"/>
          <w:color w:val="auto"/>
          <w:sz w:val="24"/>
        </w:rPr>
      </w:pPr>
      <w:r>
        <w:rPr>
          <w:rFonts w:hint="eastAsia" w:ascii="宋体" w:hAnsi="宋体" w:cs="宋体"/>
          <w:color w:val="auto"/>
          <w:sz w:val="24"/>
        </w:rPr>
        <w:t>法定代表人或其授权代理人：（签字）</w:t>
      </w:r>
    </w:p>
    <w:p>
      <w:pPr>
        <w:rPr>
          <w:rFonts w:hAnsi="宋体"/>
          <w:color w:val="auto"/>
        </w:rPr>
      </w:pPr>
      <w:r>
        <w:rPr>
          <w:rFonts w:hint="eastAsia" w:ascii="宋体" w:hAnsi="宋体" w:cs="宋体"/>
          <w:color w:val="auto"/>
          <w:sz w:val="24"/>
        </w:rPr>
        <w:t>日期：年月日</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rPr>
          <w:rFonts w:ascii="宋体" w:hAnsi="宋体"/>
          <w:color w:val="auto"/>
          <w:sz w:val="28"/>
          <w:szCs w:val="28"/>
        </w:rPr>
      </w:pPr>
      <w:r>
        <w:rPr>
          <w:rFonts w:hint="eastAsia"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color w:val="auto"/>
              </w:rPr>
            </w:pP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pPr>
              <w:autoSpaceDE w:val="0"/>
              <w:autoSpaceDN w:val="0"/>
              <w:adjustRightInd w:val="0"/>
              <w:spacing w:line="360" w:lineRule="auto"/>
              <w:jc w:val="center"/>
              <w:rPr>
                <w:rFonts w:ascii="宋体"/>
                <w:color w:val="auto"/>
              </w:rPr>
            </w:pPr>
          </w:p>
        </w:tc>
        <w:tc>
          <w:tcPr>
            <w:tcW w:w="1328"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pPr>
              <w:autoSpaceDE w:val="0"/>
              <w:autoSpaceDN w:val="0"/>
              <w:adjustRightInd w:val="0"/>
              <w:spacing w:line="360" w:lineRule="auto"/>
              <w:jc w:val="center"/>
              <w:rPr>
                <w:rFonts w:ascii="宋体"/>
                <w:color w:val="auto"/>
              </w:rPr>
            </w:pPr>
          </w:p>
        </w:tc>
        <w:tc>
          <w:tcPr>
            <w:tcW w:w="1247" w:type="dxa"/>
            <w:gridSpan w:val="2"/>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pPr>
              <w:autoSpaceDE w:val="0"/>
              <w:autoSpaceDN w:val="0"/>
              <w:adjustRightInd w:val="0"/>
              <w:spacing w:line="360" w:lineRule="auto"/>
              <w:jc w:val="center"/>
              <w:rPr>
                <w:rFonts w:ascii="宋体"/>
                <w:color w:val="auto"/>
              </w:rPr>
            </w:pPr>
          </w:p>
        </w:tc>
        <w:tc>
          <w:tcPr>
            <w:tcW w:w="5109" w:type="dxa"/>
            <w:gridSpan w:val="6"/>
            <w:vAlign w:val="center"/>
          </w:tcPr>
          <w:p>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Merge w:val="continue"/>
            <w:vAlign w:val="center"/>
          </w:tcPr>
          <w:p>
            <w:pPr>
              <w:autoSpaceDE w:val="0"/>
              <w:autoSpaceDN w:val="0"/>
              <w:adjustRightInd w:val="0"/>
              <w:spacing w:line="360" w:lineRule="auto"/>
              <w:jc w:val="center"/>
              <w:rPr>
                <w:rFonts w:ascii="宋体"/>
                <w:color w:val="auto"/>
              </w:rPr>
            </w:pPr>
          </w:p>
        </w:tc>
        <w:tc>
          <w:tcPr>
            <w:tcW w:w="2204" w:type="dxa"/>
            <w:gridSpan w:val="2"/>
            <w:vMerge w:val="continue"/>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pPr>
              <w:autoSpaceDE w:val="0"/>
              <w:autoSpaceDN w:val="0"/>
              <w:adjustRightInd w:val="0"/>
              <w:spacing w:line="360" w:lineRule="auto"/>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pPr>
              <w:autoSpaceDE w:val="0"/>
              <w:autoSpaceDN w:val="0"/>
              <w:adjustRightInd w:val="0"/>
              <w:spacing w:line="360" w:lineRule="auto"/>
              <w:jc w:val="left"/>
              <w:rPr>
                <w:rFonts w:ascii="宋体"/>
                <w:color w:val="auto"/>
              </w:rPr>
            </w:pPr>
          </w:p>
        </w:tc>
      </w:tr>
    </w:tbl>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pPr>
        <w:widowControl/>
        <w:jc w:val="left"/>
        <w:rPr>
          <w:rFonts w:ascii="黑体" w:hAnsi="黑体" w:eastAsia="黑体"/>
          <w:color w:val="auto"/>
          <w:sz w:val="28"/>
          <w:szCs w:val="28"/>
        </w:rPr>
      </w:pPr>
      <w:bookmarkStart w:id="37" w:name="_Toc325028474"/>
      <w:bookmarkStart w:id="38" w:name="_Toc476736025"/>
      <w:bookmarkStart w:id="39" w:name="_Toc453578491"/>
      <w:r>
        <w:rPr>
          <w:rFonts w:ascii="黑体" w:hAnsi="黑体" w:eastAsia="黑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bl>
    <w:p>
      <w:pPr>
        <w:adjustRightInd w:val="0"/>
        <w:spacing w:line="440" w:lineRule="exact"/>
        <w:textAlignment w:val="baseline"/>
        <w:rPr>
          <w:rFonts w:ascii="宋体" w:hAnsi="宋体"/>
          <w:color w:val="auto"/>
          <w:szCs w:val="21"/>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color w:val="auto"/>
                <w:kern w:val="0"/>
                <w:sz w:val="24"/>
              </w:rPr>
            </w:pPr>
            <w:r>
              <w:rPr>
                <w:rFonts w:hint="eastAsia" w:hAnsi="宋体"/>
                <w:color w:val="auto"/>
                <w:kern w:val="0"/>
                <w:sz w:val="24"/>
              </w:rPr>
              <w:t>序号</w:t>
            </w:r>
          </w:p>
        </w:tc>
        <w:tc>
          <w:tcPr>
            <w:tcW w:w="1516" w:type="dxa"/>
          </w:tcPr>
          <w:p>
            <w:pPr>
              <w:spacing w:line="400" w:lineRule="exact"/>
              <w:jc w:val="center"/>
              <w:rPr>
                <w:rFonts w:hAnsi="宋体"/>
                <w:color w:val="auto"/>
                <w:kern w:val="0"/>
                <w:sz w:val="24"/>
              </w:rPr>
            </w:pPr>
            <w:r>
              <w:rPr>
                <w:rFonts w:hint="eastAsia" w:hAnsi="宋体"/>
                <w:color w:val="auto"/>
                <w:kern w:val="0"/>
                <w:sz w:val="24"/>
              </w:rPr>
              <w:t>采购文件</w:t>
            </w:r>
          </w:p>
          <w:p>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pPr>
              <w:spacing w:line="400" w:lineRule="exact"/>
              <w:jc w:val="center"/>
              <w:rPr>
                <w:rFonts w:hAnsi="宋体"/>
                <w:color w:val="auto"/>
                <w:kern w:val="0"/>
                <w:sz w:val="24"/>
              </w:rPr>
            </w:pPr>
            <w:r>
              <w:rPr>
                <w:rFonts w:hint="eastAsia" w:hAnsi="宋体"/>
                <w:color w:val="auto"/>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ind w:left="435" w:hanging="433" w:hangingChars="132"/>
              <w:jc w:val="center"/>
              <w:rPr>
                <w:rFonts w:hAnsi="宋体"/>
                <w:color w:val="auto"/>
                <w:sz w:val="32"/>
              </w:rPr>
            </w:pPr>
          </w:p>
        </w:tc>
        <w:tc>
          <w:tcPr>
            <w:tcW w:w="1642" w:type="dxa"/>
          </w:tcPr>
          <w:p>
            <w:pPr>
              <w:spacing w:line="400" w:lineRule="exact"/>
              <w:ind w:left="435" w:hanging="433" w:hangingChars="132"/>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bl>
    <w:p>
      <w:pPr>
        <w:spacing w:line="400" w:lineRule="exact"/>
        <w:ind w:firstLine="249" w:firstLineChars="100"/>
        <w:rPr>
          <w:rFonts w:hAnsi="宋体"/>
          <w:color w:val="auto"/>
          <w:sz w:val="24"/>
        </w:rPr>
      </w:pPr>
      <w:r>
        <w:rPr>
          <w:rFonts w:hint="eastAsia" w:hAnsi="宋体"/>
          <w:color w:val="auto"/>
          <w:sz w:val="24"/>
        </w:rPr>
        <w:t>注：1. 采购申请人应把采购文件第四章“商务要求”全部列入此表。</w:t>
      </w:r>
    </w:p>
    <w:p>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pPr>
        <w:spacing w:line="580" w:lineRule="exact"/>
        <w:jc w:val="left"/>
        <w:rPr>
          <w:rFonts w:ascii="宋体" w:hAnsi="宋体" w:cs="Arial"/>
          <w:color w:val="auto"/>
          <w:sz w:val="24"/>
        </w:rPr>
      </w:pPr>
      <w:r>
        <w:rPr>
          <w:rFonts w:hint="eastAsia" w:ascii="宋体" w:hAnsi="宋体" w:cs="Arial"/>
          <w:color w:val="auto"/>
          <w:sz w:val="24"/>
        </w:rPr>
        <w:t>日期：年月日</w:t>
      </w:r>
    </w:p>
    <w:p>
      <w:pPr>
        <w:pStyle w:val="14"/>
        <w:rPr>
          <w:color w:val="auto"/>
        </w:rPr>
      </w:pPr>
    </w:p>
    <w:p>
      <w:pPr>
        <w:pStyle w:val="14"/>
        <w:rPr>
          <w:color w:val="auto"/>
        </w:rPr>
      </w:pPr>
    </w:p>
    <w:p>
      <w:pPr>
        <w:pStyle w:val="14"/>
        <w:rPr>
          <w:color w:val="auto"/>
        </w:rPr>
      </w:pPr>
    </w:p>
    <w:p>
      <w:pPr>
        <w:widowControl/>
        <w:jc w:val="left"/>
        <w:rPr>
          <w:rFonts w:ascii="宋体" w:hAnsi="宋体"/>
          <w:b/>
          <w:bCs/>
          <w:color w:val="auto"/>
          <w:sz w:val="28"/>
          <w:szCs w:val="28"/>
        </w:rPr>
      </w:pPr>
      <w:r>
        <w:rPr>
          <w:rFonts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pPr>
              <w:spacing w:line="400" w:lineRule="exact"/>
              <w:jc w:val="center"/>
              <w:rPr>
                <w:rFonts w:ascii="宋体"/>
                <w:color w:val="auto"/>
                <w:sz w:val="24"/>
              </w:rPr>
            </w:pPr>
            <w:r>
              <w:rPr>
                <w:rFonts w:ascii="宋体" w:hAnsi="宋体" w:cs="Arial"/>
                <w:b/>
                <w:color w:val="auto"/>
              </w:rPr>
              <w:t>项目名称</w:t>
            </w:r>
          </w:p>
        </w:tc>
        <w:tc>
          <w:tcPr>
            <w:tcW w:w="2072" w:type="dxa"/>
            <w:vAlign w:val="center"/>
          </w:tcPr>
          <w:p>
            <w:pPr>
              <w:spacing w:line="400" w:lineRule="exact"/>
              <w:jc w:val="center"/>
              <w:rPr>
                <w:rFonts w:ascii="宋体"/>
                <w:color w:val="auto"/>
                <w:sz w:val="24"/>
              </w:rPr>
            </w:pPr>
            <w:r>
              <w:rPr>
                <w:rFonts w:ascii="宋体" w:hAnsi="宋体" w:cs="Arial"/>
                <w:b/>
                <w:color w:val="auto"/>
              </w:rPr>
              <w:t>完成时间</w:t>
            </w:r>
          </w:p>
        </w:tc>
        <w:tc>
          <w:tcPr>
            <w:tcW w:w="2835" w:type="dxa"/>
            <w:vAlign w:val="center"/>
          </w:tcPr>
          <w:p>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pPr>
              <w:spacing w:line="400" w:lineRule="exact"/>
              <w:jc w:val="center"/>
              <w:rPr>
                <w:rFonts w:ascii="宋体"/>
                <w:color w:val="auto"/>
                <w:sz w:val="24"/>
              </w:rPr>
            </w:pPr>
            <w:r>
              <w:rPr>
                <w:rFonts w:hint="eastAsia" w:ascii="宋体" w:hAnsi="宋体" w:cs="Arial"/>
                <w:b/>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bl>
    <w:p>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pPr>
        <w:spacing w:line="240" w:lineRule="exact"/>
        <w:jc w:val="center"/>
        <w:rPr>
          <w:rFonts w:ascii="宋体" w:hAnsi="宋体"/>
          <w:b/>
          <w:bCs/>
          <w:color w:val="auto"/>
          <w:sz w:val="30"/>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pStyle w:val="132"/>
        <w:spacing w:line="500" w:lineRule="exact"/>
        <w:jc w:val="both"/>
        <w:rPr>
          <w:rFonts w:hAnsi="宋体"/>
          <w:b w:val="0"/>
          <w:color w:val="auto"/>
          <w:kern w:val="2"/>
          <w:sz w:val="21"/>
          <w:szCs w:val="21"/>
        </w:rPr>
      </w:pPr>
    </w:p>
    <w:bookmarkEnd w:id="43"/>
    <w:p>
      <w:pPr>
        <w:pStyle w:val="132"/>
        <w:spacing w:line="500" w:lineRule="exact"/>
        <w:jc w:val="both"/>
        <w:rPr>
          <w:rFonts w:hAnsi="宋体"/>
          <w:b w:val="0"/>
          <w:color w:val="auto"/>
          <w:kern w:val="2"/>
          <w:sz w:val="21"/>
          <w:szCs w:val="21"/>
        </w:rPr>
      </w:pPr>
    </w:p>
    <w:p>
      <w:pPr>
        <w:pStyle w:val="132"/>
        <w:spacing w:line="500" w:lineRule="exact"/>
        <w:jc w:val="both"/>
        <w:rPr>
          <w:rFonts w:hAnsi="宋体"/>
          <w:b w:val="0"/>
          <w:color w:val="auto"/>
          <w:kern w:val="2"/>
          <w:sz w:val="21"/>
          <w:szCs w:val="21"/>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满足/不满足</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bl>
    <w:p>
      <w:pPr>
        <w:widowControl/>
        <w:spacing w:line="360" w:lineRule="atLeast"/>
        <w:ind w:firstLine="487" w:firstLineChars="196"/>
        <w:jc w:val="left"/>
        <w:rPr>
          <w:rFonts w:ascii="宋体"/>
          <w:color w:val="auto"/>
          <w:sz w:val="24"/>
        </w:rPr>
      </w:pPr>
      <w:r>
        <w:rPr>
          <w:rFonts w:hint="eastAsia" w:ascii="宋体"/>
          <w:color w:val="auto"/>
          <w:sz w:val="24"/>
        </w:rPr>
        <w:t>注：1. 采购申请人应把采购文件第四章“技术要求”全部列入此表。</w:t>
      </w:r>
    </w:p>
    <w:p>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76736029"/>
      <w:bookmarkStart w:id="49" w:name="_Toc453578493"/>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宋体" w:cs="Arial"/>
          <w:color w:val="auto"/>
          <w:kern w:val="0"/>
          <w:sz w:val="24"/>
        </w:rPr>
      </w:pPr>
      <w:r>
        <w:rPr>
          <w:rFonts w:ascii="宋体" w:cs="Arial"/>
          <w:color w:val="auto"/>
          <w:kern w:val="0"/>
          <w:sz w:val="24"/>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pPr>
        <w:spacing w:line="360" w:lineRule="auto"/>
        <w:rPr>
          <w:rFonts w:ascii="宋体" w:cs="Arial"/>
          <w:color w:val="auto"/>
          <w:kern w:val="0"/>
          <w:sz w:val="24"/>
        </w:rPr>
      </w:pPr>
    </w:p>
    <w:p>
      <w:pPr>
        <w:spacing w:line="360" w:lineRule="auto"/>
        <w:rPr>
          <w:rFonts w:ascii="宋体" w:cs="Arial"/>
          <w:color w:val="auto"/>
          <w:kern w:val="0"/>
          <w:sz w:val="24"/>
        </w:rPr>
      </w:pPr>
    </w:p>
    <w:p>
      <w:pPr>
        <w:pStyle w:val="39"/>
        <w:rPr>
          <w:color w:val="auto"/>
        </w:rPr>
      </w:pPr>
      <w:r>
        <w:rPr>
          <w:color w:val="auto"/>
        </w:rPr>
        <w:br w:type="page"/>
      </w:r>
      <w:bookmarkStart w:id="51" w:name="_Toc26086"/>
      <w:r>
        <w:rPr>
          <w:rFonts w:hint="eastAsia"/>
          <w:color w:val="auto"/>
        </w:rPr>
        <w:t>第四章  采购需求</w:t>
      </w:r>
      <w:bookmarkEnd w:id="51"/>
    </w:p>
    <w:p>
      <w:pPr>
        <w:ind w:firstLine="498" w:firstLineChars="200"/>
        <w:rPr>
          <w:b/>
          <w:bCs/>
          <w:color w:val="auto"/>
          <w:sz w:val="24"/>
        </w:rPr>
      </w:pPr>
      <w:r>
        <w:rPr>
          <w:rFonts w:hint="eastAsia"/>
          <w:b/>
          <w:bCs/>
          <w:color w:val="auto"/>
          <w:sz w:val="24"/>
        </w:rPr>
        <w:t>前提：本章中标注“★”的条款为本项目的实质性要求条款，采购申请人不满足的，将在符合性审查时按照无效投标处理。标注“▲”的条款为本项目的重点扣分条款，投标人不满足的，将作重点扣分处理。</w:t>
      </w:r>
    </w:p>
    <w:p>
      <w:pPr>
        <w:rPr>
          <w:b/>
          <w:bCs/>
          <w:color w:val="auto"/>
          <w:sz w:val="28"/>
          <w:szCs w:val="28"/>
        </w:rPr>
      </w:pPr>
      <w:r>
        <w:rPr>
          <w:rFonts w:hint="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990" w:type="dxa"/>
          </w:tcPr>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品目号</w:t>
            </w:r>
          </w:p>
        </w:tc>
        <w:tc>
          <w:tcPr>
            <w:tcW w:w="2415"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58"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608"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663"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合计</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73"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7" w:type="dxa"/>
            <w:vAlign w:val="center"/>
          </w:tcPr>
          <w:p>
            <w:pPr>
              <w:autoSpaceDE w:val="0"/>
              <w:autoSpaceDN w:val="0"/>
              <w:adjustRightInd w:val="0"/>
              <w:jc w:val="center"/>
              <w:rPr>
                <w:rFonts w:hint="eastAsia" w:ascii="宋体" w:hAnsi="宋体" w:eastAsia="宋体"/>
                <w:color w:val="auto"/>
                <w:kern w:val="0"/>
                <w:sz w:val="24"/>
                <w:lang w:val="en-US" w:eastAsia="zh-CN"/>
              </w:rPr>
            </w:pPr>
            <w:r>
              <w:rPr>
                <w:rFonts w:hint="eastAsia" w:ascii="宋体" w:hAnsi="宋体"/>
                <w:color w:val="auto"/>
                <w:kern w:val="0"/>
                <w:sz w:val="24"/>
              </w:rPr>
              <w:t>0</w:t>
            </w:r>
            <w:r>
              <w:rPr>
                <w:rFonts w:hint="eastAsia" w:ascii="宋体" w:hAnsi="宋体"/>
                <w:color w:val="auto"/>
                <w:kern w:val="0"/>
                <w:sz w:val="24"/>
                <w:lang w:val="en-US" w:eastAsia="zh-CN"/>
              </w:rPr>
              <w:t>1</w:t>
            </w:r>
          </w:p>
        </w:tc>
        <w:tc>
          <w:tcPr>
            <w:tcW w:w="990" w:type="dxa"/>
            <w:vAlign w:val="center"/>
          </w:tcPr>
          <w:p>
            <w:pPr>
              <w:autoSpaceDE w:val="0"/>
              <w:autoSpaceDN w:val="0"/>
              <w:adjustRightInd w:val="0"/>
              <w:jc w:val="center"/>
              <w:rPr>
                <w:rFonts w:hint="eastAsia" w:ascii="宋体" w:hAnsi="宋体"/>
                <w:color w:val="auto"/>
                <w:kern w:val="0"/>
                <w:sz w:val="24"/>
              </w:rPr>
            </w:pPr>
            <w:r>
              <w:rPr>
                <w:rFonts w:hint="eastAsia" w:ascii="宋体" w:hAnsi="宋体"/>
                <w:color w:val="auto"/>
                <w:kern w:val="0"/>
                <w:sz w:val="24"/>
              </w:rPr>
              <w:t>0</w:t>
            </w:r>
            <w:r>
              <w:rPr>
                <w:rFonts w:hint="eastAsia" w:ascii="宋体" w:hAnsi="宋体"/>
                <w:color w:val="auto"/>
                <w:kern w:val="0"/>
                <w:sz w:val="24"/>
                <w:lang w:val="en-US" w:eastAsia="zh-CN"/>
              </w:rPr>
              <w:t>1</w:t>
            </w:r>
            <w:r>
              <w:rPr>
                <w:rFonts w:hint="eastAsia" w:ascii="宋体" w:hAnsi="宋体"/>
                <w:color w:val="auto"/>
                <w:kern w:val="0"/>
                <w:sz w:val="24"/>
              </w:rPr>
              <w:t>-01</w:t>
            </w:r>
          </w:p>
        </w:tc>
        <w:tc>
          <w:tcPr>
            <w:tcW w:w="2415" w:type="dxa"/>
            <w:vAlign w:val="center"/>
          </w:tcPr>
          <w:p>
            <w:pPr>
              <w:autoSpaceDE w:val="0"/>
              <w:autoSpaceDN w:val="0"/>
              <w:adjustRightInd w:val="0"/>
              <w:jc w:val="center"/>
              <w:rPr>
                <w:rFonts w:hint="eastAsia"/>
                <w:color w:val="auto"/>
                <w:sz w:val="24"/>
                <w:lang w:eastAsia="zh-CN"/>
              </w:rPr>
            </w:pPr>
            <w:r>
              <w:rPr>
                <w:rFonts w:hint="eastAsia"/>
                <w:color w:val="auto"/>
                <w:sz w:val="24"/>
                <w:lang w:eastAsia="zh-CN"/>
              </w:rPr>
              <w:t>倒置显微镜</w:t>
            </w:r>
          </w:p>
        </w:tc>
        <w:tc>
          <w:tcPr>
            <w:tcW w:w="858"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w:t>
            </w:r>
          </w:p>
        </w:tc>
        <w:tc>
          <w:tcPr>
            <w:tcW w:w="1608"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663"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973"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r>
    </w:tbl>
    <w:p>
      <w:pPr>
        <w:rPr>
          <w:b/>
          <w:bCs/>
          <w:color w:val="auto"/>
          <w:sz w:val="28"/>
          <w:szCs w:val="28"/>
        </w:rPr>
      </w:pPr>
    </w:p>
    <w:p>
      <w:pPr>
        <w:rPr>
          <w:b/>
          <w:bCs/>
          <w:color w:val="auto"/>
          <w:sz w:val="28"/>
          <w:szCs w:val="28"/>
        </w:rPr>
      </w:pPr>
      <w:r>
        <w:rPr>
          <w:rFonts w:hint="eastAsia"/>
          <w:b/>
          <w:bCs/>
          <w:color w:val="auto"/>
          <w:sz w:val="28"/>
          <w:szCs w:val="28"/>
        </w:rPr>
        <w:t>★二、商务要求（实质性要求）</w:t>
      </w:r>
    </w:p>
    <w:p>
      <w:pPr>
        <w:pStyle w:val="2"/>
        <w:spacing w:before="241" w:beforeLines="50" w:after="241" w:afterLines="50" w:line="460" w:lineRule="exact"/>
        <w:rPr>
          <w:color w:val="auto"/>
        </w:rPr>
      </w:pPr>
      <w:r>
        <w:rPr>
          <w:rFonts w:hint="eastAsia"/>
          <w:color w:val="auto"/>
        </w:rPr>
        <w:t>1．交货期及地点</w:t>
      </w:r>
    </w:p>
    <w:p>
      <w:pPr>
        <w:pStyle w:val="2"/>
        <w:spacing w:before="241" w:beforeLines="50" w:after="241" w:afterLines="50" w:line="460" w:lineRule="exact"/>
        <w:rPr>
          <w:color w:val="auto"/>
        </w:rPr>
      </w:pPr>
      <w:r>
        <w:rPr>
          <w:rFonts w:hint="eastAsia"/>
          <w:color w:val="auto"/>
        </w:rPr>
        <w:t>1.1 交货期：采购合同签订后15日内完成。</w:t>
      </w:r>
    </w:p>
    <w:p>
      <w:pPr>
        <w:pStyle w:val="2"/>
        <w:spacing w:before="241" w:beforeLines="50" w:after="241" w:afterLines="50" w:line="460" w:lineRule="exact"/>
        <w:rPr>
          <w:color w:val="auto"/>
        </w:rPr>
      </w:pPr>
      <w:r>
        <w:rPr>
          <w:rFonts w:hint="eastAsia"/>
          <w:color w:val="auto"/>
        </w:rPr>
        <w:t>1.2 交货地点:广安市人民医院/四川大学华西医院广安医院。</w:t>
      </w:r>
    </w:p>
    <w:p>
      <w:pPr>
        <w:pStyle w:val="2"/>
        <w:spacing w:before="241" w:beforeLines="50" w:after="241" w:afterLines="50" w:line="460" w:lineRule="exact"/>
        <w:rPr>
          <w:color w:val="auto"/>
        </w:rPr>
      </w:pPr>
      <w:r>
        <w:rPr>
          <w:rFonts w:hint="eastAsia"/>
          <w:color w:val="auto"/>
        </w:rPr>
        <w:t>2．付款方法和条件</w:t>
      </w:r>
    </w:p>
    <w:p>
      <w:pPr>
        <w:pStyle w:val="2"/>
        <w:spacing w:before="241" w:beforeLines="50" w:after="241" w:afterLines="50" w:line="460" w:lineRule="exact"/>
        <w:rPr>
          <w:color w:val="auto"/>
        </w:rPr>
      </w:pPr>
      <w:r>
        <w:rPr>
          <w:rFonts w:hint="eastAsia"/>
          <w:color w:val="auto"/>
        </w:rPr>
        <w:t>经验收合格后，采购人收到成交人递交的相关票据凭证资料后30日内支付合同总价100％的款项。中标人须向采购人出具合法有效完整的增值税发票及凭证资料进行支付结算。</w:t>
      </w:r>
    </w:p>
    <w:p>
      <w:pPr>
        <w:pStyle w:val="2"/>
        <w:spacing w:before="241" w:beforeLines="50" w:after="241" w:afterLines="50" w:line="460" w:lineRule="exact"/>
        <w:rPr>
          <w:color w:val="auto"/>
        </w:rPr>
      </w:pPr>
      <w:r>
        <w:rPr>
          <w:rFonts w:hint="eastAsia"/>
          <w:color w:val="auto"/>
        </w:rPr>
        <w:t>3. 质保期：</w:t>
      </w:r>
    </w:p>
    <w:p>
      <w:pPr>
        <w:pStyle w:val="2"/>
        <w:spacing w:before="241" w:beforeLines="50" w:after="241" w:afterLines="50" w:line="460" w:lineRule="exact"/>
        <w:rPr>
          <w:color w:val="auto"/>
        </w:rPr>
      </w:pPr>
      <w:r>
        <w:rPr>
          <w:rFonts w:hint="eastAsia"/>
          <w:color w:val="auto"/>
        </w:rPr>
        <w:t>3.1不低于一年(质保期为验收合格之日起开始计算)。</w:t>
      </w:r>
    </w:p>
    <w:p>
      <w:pPr>
        <w:pStyle w:val="2"/>
        <w:spacing w:before="241" w:beforeLines="50" w:after="241" w:afterLines="50" w:line="460" w:lineRule="exact"/>
        <w:rPr>
          <w:color w:val="auto"/>
        </w:rPr>
      </w:pPr>
      <w:r>
        <w:rPr>
          <w:rFonts w:hint="eastAsia"/>
          <w:color w:val="auto"/>
        </w:rPr>
        <w:t>4. 验收</w:t>
      </w:r>
    </w:p>
    <w:p>
      <w:pPr>
        <w:pStyle w:val="2"/>
        <w:spacing w:before="241" w:beforeLines="50" w:after="241" w:afterLines="50" w:line="460" w:lineRule="exact"/>
        <w:rPr>
          <w:color w:val="auto"/>
        </w:rPr>
      </w:pPr>
      <w:r>
        <w:rPr>
          <w:rFonts w:hint="eastAsia"/>
          <w:color w:val="auto"/>
        </w:rPr>
        <w:t>4.1.供应商在设备安装并正常运行1个月后通知采购人，采购人在接到通知后组织验收，验收合格，双方签署《安装验收报告》；</w:t>
      </w:r>
    </w:p>
    <w:p>
      <w:pPr>
        <w:pStyle w:val="2"/>
        <w:spacing w:before="241" w:beforeLines="50" w:after="241" w:afterLines="50" w:line="460" w:lineRule="exact"/>
        <w:rPr>
          <w:color w:val="auto"/>
        </w:rPr>
      </w:pPr>
      <w:r>
        <w:rPr>
          <w:rFonts w:hint="eastAsia"/>
          <w:color w:val="auto"/>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rPr>
          <w:color w:val="auto"/>
        </w:rPr>
      </w:pPr>
      <w:r>
        <w:rPr>
          <w:rFonts w:hint="eastAsia"/>
          <w:color w:val="auto"/>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rPr>
          <w:color w:val="auto"/>
        </w:rPr>
      </w:pPr>
      <w:r>
        <w:rPr>
          <w:rFonts w:hint="eastAsia"/>
          <w:color w:val="auto"/>
        </w:rPr>
        <w:t>4.4.如质量终验合格，双方签署《安装验收报告》；</w:t>
      </w:r>
    </w:p>
    <w:p>
      <w:pPr>
        <w:pStyle w:val="2"/>
        <w:spacing w:before="241" w:beforeLines="50" w:after="241" w:afterLines="50" w:line="460" w:lineRule="exact"/>
        <w:rPr>
          <w:color w:val="auto"/>
        </w:rPr>
      </w:pPr>
      <w:r>
        <w:rPr>
          <w:rFonts w:hint="eastAsia"/>
          <w:color w:val="auto"/>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rPr>
          <w:color w:val="auto"/>
        </w:rPr>
      </w:pPr>
      <w:r>
        <w:rPr>
          <w:rFonts w:hint="eastAsia"/>
          <w:color w:val="auto"/>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rPr>
          <w:color w:val="auto"/>
        </w:rPr>
      </w:pPr>
      <w:r>
        <w:rPr>
          <w:rFonts w:hint="eastAsia"/>
          <w:color w:val="auto"/>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color w:val="auto"/>
        </w:rPr>
      </w:pPr>
      <w:r>
        <w:rPr>
          <w:rFonts w:hint="eastAsia"/>
          <w:color w:val="auto"/>
        </w:rPr>
        <w:t>5. 违约责任：</w:t>
      </w:r>
    </w:p>
    <w:p>
      <w:pPr>
        <w:pStyle w:val="2"/>
        <w:spacing w:before="241" w:beforeLines="50" w:after="241" w:afterLines="50" w:line="460" w:lineRule="exact"/>
        <w:rPr>
          <w:color w:val="auto"/>
        </w:rPr>
      </w:pPr>
      <w:r>
        <w:rPr>
          <w:rFonts w:hint="eastAsia"/>
          <w:color w:val="auto"/>
        </w:rPr>
        <w:t>5.1.供应商必须遵守采购合同并执行合同中的各项规定，保证采购合同的正常履行。</w:t>
      </w:r>
    </w:p>
    <w:p>
      <w:pPr>
        <w:pStyle w:val="2"/>
        <w:spacing w:before="241" w:beforeLines="50" w:after="241" w:afterLines="50" w:line="460" w:lineRule="exact"/>
        <w:rPr>
          <w:color w:val="auto"/>
        </w:rPr>
      </w:pPr>
      <w:r>
        <w:rPr>
          <w:rFonts w:hint="eastAsia"/>
          <w:color w:val="auto"/>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rPr>
          <w:color w:val="auto"/>
        </w:rPr>
      </w:pPr>
      <w:r>
        <w:rPr>
          <w:rFonts w:hint="eastAsia"/>
          <w:color w:val="auto"/>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rPr>
          <w:color w:val="auto"/>
        </w:rPr>
      </w:pPr>
      <w:r>
        <w:rPr>
          <w:rFonts w:hint="eastAsia"/>
          <w:color w:val="auto"/>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rPr>
          <w:color w:val="auto"/>
        </w:rPr>
      </w:pPr>
      <w:r>
        <w:rPr>
          <w:rFonts w:hint="eastAsia"/>
          <w:color w:val="auto"/>
        </w:rPr>
        <w:t>5.5.有下列情形之一的，当事人可以解除合同：</w:t>
      </w:r>
    </w:p>
    <w:p>
      <w:pPr>
        <w:pStyle w:val="2"/>
        <w:spacing w:before="241" w:beforeLines="50" w:after="241" w:afterLines="50" w:line="460" w:lineRule="exact"/>
        <w:rPr>
          <w:color w:val="auto"/>
        </w:rPr>
      </w:pPr>
      <w:r>
        <w:rPr>
          <w:rFonts w:hint="eastAsia"/>
          <w:color w:val="auto"/>
        </w:rPr>
        <w:t>5.5.1因不可抗力致使不能实现合同目的(由于非供应商或采购人原因，致使合同实质性条款无法实现的)；</w:t>
      </w:r>
    </w:p>
    <w:p>
      <w:pPr>
        <w:pStyle w:val="2"/>
        <w:spacing w:before="241" w:beforeLines="50" w:after="241" w:afterLines="50" w:line="460" w:lineRule="exact"/>
        <w:rPr>
          <w:color w:val="auto"/>
        </w:rPr>
      </w:pPr>
      <w:r>
        <w:rPr>
          <w:rFonts w:hint="eastAsia"/>
          <w:color w:val="auto"/>
        </w:rPr>
        <w:t>5.5.2当事人一方迟延履行主要债务，经催告后在合理期限内仍未履行；</w:t>
      </w:r>
    </w:p>
    <w:p>
      <w:pPr>
        <w:pStyle w:val="2"/>
        <w:spacing w:before="241" w:beforeLines="50" w:after="241" w:afterLines="50" w:line="460" w:lineRule="exact"/>
        <w:rPr>
          <w:color w:val="auto"/>
        </w:rPr>
      </w:pPr>
      <w:r>
        <w:rPr>
          <w:rFonts w:hint="eastAsia"/>
          <w:color w:val="auto"/>
        </w:rPr>
        <w:t>5.5.3当事人一方迟延履行债务或者有其他违约行为致使不能实现合同目的；</w:t>
      </w:r>
    </w:p>
    <w:p>
      <w:pPr>
        <w:pStyle w:val="2"/>
        <w:spacing w:before="241" w:beforeLines="50" w:after="241" w:afterLines="50" w:line="460" w:lineRule="exact"/>
        <w:rPr>
          <w:color w:val="auto"/>
        </w:rPr>
      </w:pPr>
      <w:r>
        <w:rPr>
          <w:rFonts w:hint="eastAsia"/>
          <w:color w:val="auto"/>
        </w:rPr>
        <w:t>5.5.4法律规定的其他情形。</w:t>
      </w:r>
    </w:p>
    <w:p>
      <w:pPr>
        <w:pStyle w:val="2"/>
        <w:spacing w:before="241" w:beforeLines="50" w:after="241" w:afterLines="50" w:line="460" w:lineRule="exact"/>
        <w:rPr>
          <w:color w:val="auto"/>
        </w:rPr>
      </w:pPr>
      <w:r>
        <w:rPr>
          <w:rFonts w:hint="eastAsia"/>
          <w:color w:val="auto"/>
        </w:rPr>
        <w:t>6.解决争议的方法：</w:t>
      </w:r>
    </w:p>
    <w:p>
      <w:pPr>
        <w:pStyle w:val="2"/>
        <w:spacing w:before="241" w:beforeLines="50" w:after="241" w:afterLines="50" w:line="460" w:lineRule="exact"/>
        <w:rPr>
          <w:color w:val="auto"/>
        </w:rPr>
      </w:pPr>
      <w:r>
        <w:rPr>
          <w:rFonts w:hint="eastAsia"/>
          <w:color w:val="auto"/>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rPr>
          <w:color w:val="auto"/>
        </w:rPr>
      </w:pPr>
      <w:r>
        <w:rPr>
          <w:rFonts w:hint="eastAsia"/>
          <w:color w:val="auto"/>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rPr>
          <w:color w:val="auto"/>
        </w:rPr>
      </w:pPr>
      <w:r>
        <w:rPr>
          <w:rFonts w:hint="eastAsia"/>
          <w:color w:val="auto"/>
        </w:rPr>
        <w:t>7 其他要求：</w:t>
      </w:r>
    </w:p>
    <w:p>
      <w:pPr>
        <w:pStyle w:val="2"/>
        <w:spacing w:before="241" w:beforeLines="50" w:after="241" w:afterLines="50" w:line="460" w:lineRule="exact"/>
        <w:rPr>
          <w:color w:val="auto"/>
        </w:rPr>
      </w:pPr>
      <w:r>
        <w:rPr>
          <w:rFonts w:hint="eastAsia"/>
          <w:color w:val="auto"/>
        </w:rPr>
        <w:t>7.1.采购合同签订时间：供应商成交后，自成交通知书发出之日起30日内与采购单位签订采购合同。</w:t>
      </w:r>
    </w:p>
    <w:p>
      <w:pPr>
        <w:pStyle w:val="2"/>
        <w:spacing w:before="241" w:beforeLines="50" w:after="241" w:afterLines="50" w:line="460" w:lineRule="exact"/>
        <w:rPr>
          <w:color w:val="auto"/>
        </w:rPr>
      </w:pPr>
      <w:r>
        <w:rPr>
          <w:rFonts w:hint="eastAsia"/>
          <w:color w:val="auto"/>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rPr>
          <w:color w:val="auto"/>
        </w:rPr>
      </w:pPr>
      <w:r>
        <w:rPr>
          <w:rFonts w:hint="eastAsia"/>
          <w:color w:val="auto"/>
        </w:rPr>
        <w:t>7.3.供应商在项目执行过程中定期及时向采购人通告本项目供货的重大事项及其进度。</w:t>
      </w:r>
    </w:p>
    <w:p>
      <w:pPr>
        <w:pStyle w:val="2"/>
        <w:spacing w:before="241" w:beforeLines="50" w:after="241" w:afterLines="50" w:line="460" w:lineRule="exact"/>
        <w:rPr>
          <w:color w:val="auto"/>
        </w:rPr>
      </w:pPr>
      <w:r>
        <w:rPr>
          <w:rFonts w:hint="eastAsia"/>
          <w:color w:val="auto"/>
        </w:rPr>
        <w:t>7.4.接受项目行业管理部门及政府有关部门的指导，接受采购人的监督。</w:t>
      </w:r>
    </w:p>
    <w:p>
      <w:pPr>
        <w:pStyle w:val="2"/>
        <w:spacing w:before="241" w:beforeLines="50" w:after="241" w:afterLines="50" w:line="460" w:lineRule="exact"/>
        <w:rPr>
          <w:color w:val="auto"/>
        </w:rPr>
      </w:pPr>
      <w:r>
        <w:rPr>
          <w:rFonts w:hint="eastAsia"/>
          <w:color w:val="auto"/>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spacing w:line="360" w:lineRule="auto"/>
        <w:rPr>
          <w:color w:val="auto"/>
        </w:rPr>
      </w:pPr>
      <w:r>
        <w:rPr>
          <w:rFonts w:hint="eastAsia"/>
          <w:b/>
          <w:bCs/>
          <w:color w:val="auto"/>
          <w:sz w:val="28"/>
          <w:szCs w:val="28"/>
        </w:rPr>
        <w:t>三、技术要求</w:t>
      </w:r>
    </w:p>
    <w:p>
      <w:pPr>
        <w:spacing w:line="360" w:lineRule="auto"/>
        <w:ind w:firstLine="578" w:firstLineChars="200"/>
        <w:rPr>
          <w:b/>
          <w:bCs/>
          <w:color w:val="auto"/>
          <w:sz w:val="28"/>
          <w:szCs w:val="28"/>
        </w:rPr>
      </w:pPr>
      <w:r>
        <w:rPr>
          <w:rFonts w:hint="eastAsia"/>
          <w:b/>
          <w:bCs/>
          <w:color w:val="auto"/>
          <w:sz w:val="28"/>
          <w:szCs w:val="28"/>
        </w:rPr>
        <w:t>品目01-01</w:t>
      </w:r>
    </w:p>
    <w:p>
      <w:pPr>
        <w:ind w:firstLine="498" w:firstLineChars="200"/>
        <w:rPr>
          <w:rFonts w:hint="eastAsia" w:eastAsia="宋体"/>
          <w:b/>
          <w:bCs/>
          <w:color w:val="auto"/>
          <w:sz w:val="24"/>
          <w:lang w:eastAsia="zh-CN"/>
        </w:rPr>
      </w:pPr>
      <w:r>
        <w:rPr>
          <w:rFonts w:hint="eastAsia"/>
          <w:b/>
          <w:bCs/>
          <w:color w:val="auto"/>
          <w:sz w:val="24"/>
        </w:rPr>
        <w:t>设备名称：</w:t>
      </w:r>
      <w:r>
        <w:rPr>
          <w:rFonts w:hint="eastAsia" w:eastAsia="宋体"/>
          <w:b/>
          <w:bCs/>
          <w:color w:val="auto"/>
          <w:sz w:val="24"/>
          <w:lang w:eastAsia="zh-CN"/>
        </w:rPr>
        <w:t>倒置显微镜</w:t>
      </w:r>
    </w:p>
    <w:p>
      <w:pPr>
        <w:ind w:firstLine="498" w:firstLineChars="200"/>
        <w:rPr>
          <w:rFonts w:hint="eastAsia"/>
          <w:color w:val="auto"/>
          <w:sz w:val="24"/>
        </w:rPr>
      </w:pPr>
      <w:r>
        <w:rPr>
          <w:rFonts w:hint="eastAsia"/>
          <w:color w:val="auto"/>
          <w:sz w:val="24"/>
        </w:rPr>
        <w:t>▲1、光学系统：具备无限远校正光学系统，齐焦距离为国际标准45mm。</w:t>
      </w:r>
    </w:p>
    <w:p>
      <w:pPr>
        <w:ind w:firstLine="498" w:firstLineChars="200"/>
        <w:rPr>
          <w:rFonts w:hint="eastAsia"/>
          <w:color w:val="auto"/>
          <w:sz w:val="24"/>
        </w:rPr>
      </w:pPr>
      <w:r>
        <w:rPr>
          <w:rFonts w:hint="eastAsia"/>
          <w:color w:val="auto"/>
          <w:sz w:val="24"/>
        </w:rPr>
        <w:t>2、主机：底座具有滑动垫。机身具有防UV涂层。</w:t>
      </w:r>
    </w:p>
    <w:p>
      <w:pPr>
        <w:ind w:firstLine="498" w:firstLineChars="200"/>
        <w:rPr>
          <w:rFonts w:hint="eastAsia"/>
          <w:color w:val="auto"/>
          <w:sz w:val="24"/>
        </w:rPr>
      </w:pPr>
      <w:r>
        <w:rPr>
          <w:rFonts w:hint="eastAsia"/>
          <w:color w:val="auto"/>
          <w:sz w:val="24"/>
        </w:rPr>
        <w:t>▲3、镜筒</w:t>
      </w:r>
    </w:p>
    <w:p>
      <w:pPr>
        <w:ind w:firstLine="498" w:firstLineChars="200"/>
        <w:rPr>
          <w:rFonts w:hint="default" w:eastAsia="宋体"/>
          <w:color w:val="auto"/>
          <w:sz w:val="24"/>
          <w:lang w:val="en-US" w:eastAsia="zh-CN"/>
        </w:rPr>
      </w:pPr>
      <w:r>
        <w:rPr>
          <w:rFonts w:hint="eastAsia"/>
          <w:color w:val="auto"/>
          <w:sz w:val="24"/>
          <w:lang w:val="en-US" w:eastAsia="zh-CN"/>
        </w:rPr>
        <w:t>3.1</w:t>
      </w:r>
      <w:r>
        <w:rPr>
          <w:rFonts w:hint="eastAsia"/>
          <w:color w:val="auto"/>
          <w:sz w:val="24"/>
        </w:rPr>
        <w:t>三目镜筒，视场数≥22</w:t>
      </w:r>
    </w:p>
    <w:p>
      <w:pPr>
        <w:ind w:firstLine="498" w:firstLineChars="200"/>
        <w:rPr>
          <w:rFonts w:hint="eastAsia"/>
          <w:color w:val="auto"/>
          <w:sz w:val="24"/>
        </w:rPr>
      </w:pPr>
      <w:r>
        <w:rPr>
          <w:rFonts w:hint="eastAsia"/>
          <w:color w:val="auto"/>
          <w:sz w:val="24"/>
        </w:rPr>
        <w:t>3.</w:t>
      </w:r>
      <w:r>
        <w:rPr>
          <w:rFonts w:hint="eastAsia"/>
          <w:color w:val="auto"/>
          <w:sz w:val="24"/>
          <w:lang w:val="en-US" w:eastAsia="zh-CN"/>
        </w:rPr>
        <w:t>2</w:t>
      </w:r>
      <w:r>
        <w:rPr>
          <w:rFonts w:hint="eastAsia"/>
          <w:color w:val="auto"/>
          <w:sz w:val="24"/>
        </w:rPr>
        <w:t>两档分光比例为</w:t>
      </w:r>
      <w:r>
        <w:rPr>
          <w:rFonts w:hint="eastAsia"/>
          <w:color w:val="auto"/>
          <w:sz w:val="24"/>
          <w:lang w:val="en-US" w:eastAsia="zh-CN"/>
        </w:rPr>
        <w:t xml:space="preserve">  </w:t>
      </w:r>
      <w:r>
        <w:rPr>
          <w:rFonts w:hint="eastAsia"/>
          <w:color w:val="auto"/>
          <w:sz w:val="24"/>
        </w:rPr>
        <w:t>100:0，0:100。</w:t>
      </w:r>
    </w:p>
    <w:p>
      <w:pPr>
        <w:ind w:firstLine="498" w:firstLineChars="200"/>
        <w:rPr>
          <w:rFonts w:hint="eastAsia"/>
          <w:color w:val="auto"/>
          <w:sz w:val="24"/>
        </w:rPr>
      </w:pPr>
      <w:r>
        <w:rPr>
          <w:rFonts w:hint="eastAsia"/>
          <w:color w:val="auto"/>
          <w:sz w:val="24"/>
        </w:rPr>
        <w:t>3.</w:t>
      </w:r>
      <w:r>
        <w:rPr>
          <w:rFonts w:hint="eastAsia"/>
          <w:color w:val="auto"/>
          <w:sz w:val="24"/>
          <w:lang w:val="en-US" w:eastAsia="zh-CN"/>
        </w:rPr>
        <w:t>3</w:t>
      </w:r>
      <w:r>
        <w:rPr>
          <w:rFonts w:hint="eastAsia"/>
          <w:color w:val="auto"/>
          <w:sz w:val="24"/>
        </w:rPr>
        <w:t>观察筒</w:t>
      </w:r>
      <w:r>
        <w:rPr>
          <w:rFonts w:hint="eastAsia"/>
          <w:color w:val="auto"/>
          <w:sz w:val="24"/>
          <w:lang w:eastAsia="zh-CN"/>
        </w:rPr>
        <w:t>可</w:t>
      </w:r>
      <w:r>
        <w:rPr>
          <w:rFonts w:hint="eastAsia"/>
          <w:color w:val="auto"/>
          <w:sz w:val="24"/>
        </w:rPr>
        <w:t>获得不同眼点高度。</w:t>
      </w:r>
    </w:p>
    <w:p>
      <w:pPr>
        <w:ind w:firstLine="498" w:firstLineChars="200"/>
        <w:rPr>
          <w:rFonts w:hint="eastAsia"/>
          <w:color w:val="auto"/>
          <w:sz w:val="24"/>
        </w:rPr>
      </w:pPr>
      <w:r>
        <w:rPr>
          <w:rFonts w:hint="eastAsia"/>
          <w:color w:val="auto"/>
          <w:sz w:val="24"/>
        </w:rPr>
        <w:t>3.</w:t>
      </w:r>
      <w:r>
        <w:rPr>
          <w:rFonts w:hint="eastAsia"/>
          <w:color w:val="auto"/>
          <w:sz w:val="24"/>
          <w:lang w:val="en-US" w:eastAsia="zh-CN"/>
        </w:rPr>
        <w:t>4</w:t>
      </w:r>
      <w:r>
        <w:rPr>
          <w:rFonts w:hint="eastAsia"/>
          <w:color w:val="auto"/>
          <w:sz w:val="24"/>
        </w:rPr>
        <w:t>观察筒倾角为45°</w:t>
      </w:r>
    </w:p>
    <w:p>
      <w:pPr>
        <w:ind w:firstLine="498" w:firstLineChars="200"/>
        <w:rPr>
          <w:rFonts w:hint="eastAsia"/>
          <w:color w:val="auto"/>
          <w:sz w:val="24"/>
        </w:rPr>
      </w:pPr>
      <w:r>
        <w:rPr>
          <w:rFonts w:hint="eastAsia"/>
          <w:color w:val="auto"/>
          <w:sz w:val="24"/>
        </w:rPr>
        <w:t>4、照明装置：LED光照明，使用寿命≥60000小时</w:t>
      </w:r>
    </w:p>
    <w:p>
      <w:pPr>
        <w:ind w:firstLine="498" w:firstLineChars="200"/>
        <w:rPr>
          <w:rFonts w:hint="eastAsia"/>
          <w:color w:val="auto"/>
          <w:sz w:val="24"/>
        </w:rPr>
      </w:pPr>
      <w:r>
        <w:rPr>
          <w:rFonts w:hint="eastAsia"/>
          <w:color w:val="auto"/>
          <w:sz w:val="24"/>
        </w:rPr>
        <w:t>5、长工作距离消色差相差物镜：</w:t>
      </w:r>
    </w:p>
    <w:p>
      <w:pPr>
        <w:ind w:firstLine="498" w:firstLineChars="200"/>
        <w:rPr>
          <w:rFonts w:hint="eastAsia"/>
          <w:color w:val="auto"/>
          <w:sz w:val="24"/>
        </w:rPr>
      </w:pPr>
      <w:r>
        <w:rPr>
          <w:rFonts w:hint="eastAsia"/>
          <w:color w:val="auto"/>
          <w:sz w:val="24"/>
        </w:rPr>
        <w:t>4×  N.A.≥0.13  WD ≥17mm</w:t>
      </w:r>
    </w:p>
    <w:p>
      <w:pPr>
        <w:ind w:firstLine="498" w:firstLineChars="200"/>
        <w:rPr>
          <w:rFonts w:hint="eastAsia"/>
          <w:color w:val="auto"/>
          <w:sz w:val="24"/>
        </w:rPr>
      </w:pPr>
      <w:r>
        <w:rPr>
          <w:rFonts w:hint="eastAsia"/>
          <w:color w:val="auto"/>
          <w:sz w:val="24"/>
        </w:rPr>
        <w:t>10× N.A.≥0.25  WD ≥8.8mm</w:t>
      </w:r>
    </w:p>
    <w:p>
      <w:pPr>
        <w:ind w:firstLine="498" w:firstLineChars="200"/>
        <w:rPr>
          <w:rFonts w:hint="eastAsia"/>
          <w:color w:val="auto"/>
          <w:sz w:val="24"/>
        </w:rPr>
      </w:pPr>
      <w:r>
        <w:rPr>
          <w:rFonts w:hint="eastAsia"/>
          <w:color w:val="auto"/>
          <w:sz w:val="24"/>
        </w:rPr>
        <w:t>20× N.A.≥0.4   WD ≥3.2mm</w:t>
      </w:r>
    </w:p>
    <w:p>
      <w:pPr>
        <w:ind w:firstLine="498" w:firstLineChars="200"/>
        <w:rPr>
          <w:rFonts w:hint="eastAsia"/>
          <w:color w:val="auto"/>
          <w:sz w:val="24"/>
        </w:rPr>
      </w:pPr>
      <w:r>
        <w:rPr>
          <w:rFonts w:hint="eastAsia"/>
          <w:color w:val="auto"/>
          <w:sz w:val="24"/>
        </w:rPr>
        <w:t>40× N.A.≥0.55  WD ≥2.2mm</w:t>
      </w:r>
    </w:p>
    <w:p>
      <w:pPr>
        <w:ind w:firstLine="498" w:firstLineChars="200"/>
        <w:rPr>
          <w:rFonts w:hint="eastAsia"/>
          <w:color w:val="auto"/>
          <w:sz w:val="24"/>
        </w:rPr>
      </w:pPr>
      <w:r>
        <w:rPr>
          <w:rFonts w:hint="eastAsia"/>
          <w:color w:val="auto"/>
          <w:sz w:val="24"/>
        </w:rPr>
        <w:t>6、目镜：10×，视场数≥22</w:t>
      </w:r>
    </w:p>
    <w:p>
      <w:pPr>
        <w:ind w:firstLine="498" w:firstLineChars="200"/>
        <w:rPr>
          <w:rFonts w:hint="eastAsia"/>
          <w:color w:val="auto"/>
          <w:sz w:val="24"/>
        </w:rPr>
      </w:pPr>
      <w:r>
        <w:rPr>
          <w:rFonts w:hint="eastAsia"/>
          <w:color w:val="auto"/>
          <w:sz w:val="24"/>
        </w:rPr>
        <w:t>7、超长工作距离聚光镜：N.A.≥0.3，W.D.≥72mm</w:t>
      </w:r>
    </w:p>
    <w:p>
      <w:pPr>
        <w:ind w:firstLine="498" w:firstLineChars="200"/>
        <w:rPr>
          <w:rFonts w:hint="eastAsia"/>
          <w:color w:val="auto"/>
          <w:sz w:val="24"/>
        </w:rPr>
      </w:pPr>
      <w:r>
        <w:rPr>
          <w:rFonts w:hint="eastAsia"/>
          <w:color w:val="auto"/>
          <w:sz w:val="24"/>
        </w:rPr>
        <w:t>▲7.1聚光镜可自由拆卸，拆卸后工作空间不低于190mm，可满足多层组织培养瓶（细胞工厂）观察。</w:t>
      </w:r>
    </w:p>
    <w:p>
      <w:pPr>
        <w:ind w:firstLine="498" w:firstLineChars="200"/>
        <w:rPr>
          <w:rFonts w:hint="eastAsia"/>
          <w:color w:val="auto"/>
          <w:sz w:val="24"/>
        </w:rPr>
      </w:pPr>
      <w:r>
        <w:rPr>
          <w:rFonts w:hint="eastAsia"/>
          <w:color w:val="auto"/>
          <w:sz w:val="24"/>
        </w:rPr>
        <w:t>▲7.2聚光镜相差板可旋转30°</w:t>
      </w:r>
    </w:p>
    <w:p>
      <w:pPr>
        <w:ind w:firstLine="498" w:firstLineChars="200"/>
        <w:rPr>
          <w:rFonts w:hint="eastAsia"/>
          <w:color w:val="auto"/>
          <w:sz w:val="24"/>
        </w:rPr>
      </w:pPr>
      <w:r>
        <w:rPr>
          <w:rFonts w:hint="eastAsia"/>
          <w:color w:val="auto"/>
          <w:sz w:val="24"/>
        </w:rPr>
        <w:t>8、相差系统：配置4×、10×、20×、40×对应相差环板</w:t>
      </w:r>
    </w:p>
    <w:p>
      <w:pPr>
        <w:ind w:firstLine="498" w:firstLineChars="200"/>
        <w:rPr>
          <w:rFonts w:hint="eastAsia"/>
          <w:color w:val="auto"/>
          <w:sz w:val="24"/>
        </w:rPr>
      </w:pPr>
      <w:r>
        <w:rPr>
          <w:rFonts w:hint="eastAsia"/>
          <w:color w:val="auto"/>
          <w:sz w:val="24"/>
        </w:rPr>
        <w:t>9、成像系统</w:t>
      </w:r>
    </w:p>
    <w:p>
      <w:pPr>
        <w:ind w:firstLine="498" w:firstLineChars="200"/>
        <w:rPr>
          <w:rFonts w:hint="eastAsia"/>
          <w:color w:val="auto"/>
          <w:sz w:val="24"/>
        </w:rPr>
      </w:pPr>
      <w:r>
        <w:rPr>
          <w:rFonts w:hint="eastAsia"/>
          <w:color w:val="auto"/>
          <w:sz w:val="24"/>
        </w:rPr>
        <w:t>9.1芯片规格：≥1/1.8 英寸彩色</w:t>
      </w:r>
    </w:p>
    <w:p>
      <w:pPr>
        <w:ind w:firstLine="498" w:firstLineChars="200"/>
        <w:rPr>
          <w:rFonts w:hint="eastAsia"/>
          <w:color w:val="auto"/>
          <w:sz w:val="24"/>
        </w:rPr>
      </w:pPr>
      <w:r>
        <w:rPr>
          <w:rFonts w:hint="eastAsia"/>
          <w:color w:val="auto"/>
          <w:sz w:val="24"/>
        </w:rPr>
        <w:t>9.2有效像素：≥600万</w:t>
      </w:r>
    </w:p>
    <w:p>
      <w:pPr>
        <w:ind w:firstLine="498" w:firstLineChars="200"/>
        <w:rPr>
          <w:rFonts w:hint="eastAsia"/>
          <w:color w:val="auto"/>
          <w:sz w:val="24"/>
        </w:rPr>
      </w:pPr>
      <w:r>
        <w:rPr>
          <w:rFonts w:hint="eastAsia"/>
          <w:color w:val="auto"/>
          <w:sz w:val="24"/>
        </w:rPr>
        <w:t>9.3最大图像分辨率：≥3072 × 2048</w:t>
      </w:r>
    </w:p>
    <w:p>
      <w:pPr>
        <w:ind w:firstLine="498" w:firstLineChars="200"/>
        <w:rPr>
          <w:rFonts w:hint="eastAsia"/>
          <w:color w:val="auto"/>
          <w:sz w:val="24"/>
        </w:rPr>
      </w:pPr>
      <w:r>
        <w:rPr>
          <w:rFonts w:hint="eastAsia"/>
          <w:color w:val="auto"/>
          <w:sz w:val="24"/>
        </w:rPr>
        <w:t>9.4图像速度：全分辨率实时速度</w:t>
      </w:r>
      <w:r>
        <w:rPr>
          <w:rFonts w:hint="eastAsia"/>
          <w:color w:val="auto"/>
          <w:sz w:val="24"/>
          <w:lang w:eastAsia="zh-CN"/>
        </w:rPr>
        <w:t>不低于</w:t>
      </w:r>
      <w:r>
        <w:rPr>
          <w:rFonts w:hint="eastAsia"/>
          <w:color w:val="auto"/>
          <w:sz w:val="24"/>
        </w:rPr>
        <w:t>30 幅/秒@3072 X 2048</w:t>
      </w:r>
    </w:p>
    <w:p>
      <w:pPr>
        <w:ind w:firstLine="498" w:firstLineChars="200"/>
        <w:rPr>
          <w:rFonts w:hint="eastAsia"/>
          <w:color w:val="auto"/>
          <w:sz w:val="24"/>
        </w:rPr>
      </w:pPr>
      <w:r>
        <w:rPr>
          <w:rFonts w:hint="eastAsia"/>
          <w:color w:val="auto"/>
          <w:sz w:val="24"/>
        </w:rPr>
        <w:t>9.5</w:t>
      </w:r>
      <w:r>
        <w:rPr>
          <w:rFonts w:hint="eastAsia"/>
          <w:color w:val="auto"/>
          <w:sz w:val="24"/>
          <w:lang w:val="en-US" w:eastAsia="zh-CN"/>
        </w:rPr>
        <w:t xml:space="preserve"> </w:t>
      </w:r>
      <w:r>
        <w:rPr>
          <w:rFonts w:hint="eastAsia"/>
          <w:color w:val="auto"/>
          <w:sz w:val="24"/>
        </w:rPr>
        <w:t>QE峰值：≥67%</w:t>
      </w:r>
    </w:p>
    <w:p>
      <w:pPr>
        <w:ind w:firstLine="498" w:firstLineChars="200"/>
        <w:rPr>
          <w:rFonts w:hint="eastAsia" w:eastAsia="宋体"/>
          <w:color w:val="auto"/>
          <w:sz w:val="24"/>
          <w:lang w:eastAsia="zh-CN"/>
        </w:rPr>
      </w:pPr>
      <w:r>
        <w:rPr>
          <w:rFonts w:hint="eastAsia"/>
          <w:color w:val="auto"/>
          <w:sz w:val="24"/>
        </w:rPr>
        <w:t>9.6文件格式包含Tif., jpeg, bmp, png, avi</w:t>
      </w:r>
    </w:p>
    <w:p>
      <w:pPr>
        <w:ind w:firstLine="498" w:firstLineChars="200"/>
        <w:rPr>
          <w:rFonts w:hint="eastAsia"/>
          <w:color w:val="auto"/>
          <w:sz w:val="24"/>
        </w:rPr>
      </w:pPr>
      <w:r>
        <w:rPr>
          <w:rFonts w:hint="eastAsia"/>
          <w:color w:val="auto"/>
          <w:sz w:val="24"/>
        </w:rPr>
        <w:t>9.7数据传输包含：HDMI，WLAN，Ethernet</w:t>
      </w:r>
    </w:p>
    <w:p>
      <w:pPr>
        <w:ind w:firstLine="498" w:firstLineChars="200"/>
        <w:rPr>
          <w:rFonts w:hint="eastAsia"/>
          <w:color w:val="auto"/>
          <w:sz w:val="24"/>
        </w:rPr>
      </w:pPr>
      <w:r>
        <w:rPr>
          <w:rFonts w:hint="eastAsia"/>
          <w:color w:val="auto"/>
          <w:sz w:val="24"/>
        </w:rPr>
        <w:t>9.8注释功能包含：文本、箭头、矩形、圆形</w:t>
      </w:r>
    </w:p>
    <w:p>
      <w:pPr>
        <w:ind w:firstLine="498" w:firstLineChars="200"/>
        <w:rPr>
          <w:rFonts w:hint="eastAsia"/>
          <w:color w:val="auto"/>
          <w:sz w:val="24"/>
        </w:rPr>
      </w:pPr>
      <w:r>
        <w:rPr>
          <w:rFonts w:hint="eastAsia"/>
          <w:color w:val="auto"/>
          <w:sz w:val="24"/>
        </w:rPr>
        <w:t>9.9相机接口包含：标准C接口，电脑接口USB3.0</w:t>
      </w:r>
    </w:p>
    <w:p>
      <w:pPr>
        <w:ind w:firstLine="498" w:firstLineChars="200"/>
        <w:rPr>
          <w:rFonts w:hint="eastAsia"/>
          <w:color w:val="auto"/>
          <w:sz w:val="24"/>
        </w:rPr>
      </w:pPr>
      <w:r>
        <w:rPr>
          <w:rFonts w:hint="eastAsia"/>
          <w:color w:val="auto"/>
          <w:sz w:val="24"/>
        </w:rPr>
        <w:t>10、工作站最低配置要求：CPU: i5处理器， 内存：4G, 硬盘：1T，显示器： 24寸液晶，DVD刻录光驱</w:t>
      </w:r>
    </w:p>
    <w:p>
      <w:pPr>
        <w:ind w:firstLine="498" w:firstLineChars="200"/>
        <w:rPr>
          <w:rFonts w:hint="eastAsia"/>
          <w:color w:val="auto"/>
          <w:sz w:val="24"/>
        </w:rPr>
      </w:pPr>
      <w:r>
        <w:rPr>
          <w:rFonts w:hint="eastAsia"/>
          <w:color w:val="auto"/>
          <w:sz w:val="24"/>
        </w:rPr>
        <w:t>★四、基本配置：</w:t>
      </w:r>
    </w:p>
    <w:p>
      <w:pPr>
        <w:ind w:firstLine="498" w:firstLineChars="200"/>
        <w:rPr>
          <w:rFonts w:hint="eastAsia"/>
          <w:color w:val="auto"/>
          <w:sz w:val="24"/>
        </w:rPr>
      </w:pPr>
      <w:r>
        <w:rPr>
          <w:rFonts w:hint="eastAsia"/>
          <w:color w:val="auto"/>
          <w:sz w:val="24"/>
        </w:rPr>
        <w:t>1、倒置显微镜主机                                  1套</w:t>
      </w:r>
    </w:p>
    <w:p>
      <w:pPr>
        <w:ind w:firstLine="498" w:firstLineChars="200"/>
        <w:rPr>
          <w:rFonts w:hint="eastAsia"/>
          <w:color w:val="auto"/>
          <w:sz w:val="24"/>
        </w:rPr>
      </w:pPr>
      <w:r>
        <w:rPr>
          <w:rFonts w:hint="eastAsia"/>
          <w:color w:val="auto"/>
          <w:sz w:val="24"/>
        </w:rPr>
        <w:t>2、LED透射明场照明系统                            1套</w:t>
      </w:r>
    </w:p>
    <w:p>
      <w:pPr>
        <w:ind w:firstLine="498" w:firstLineChars="200"/>
        <w:rPr>
          <w:rFonts w:hint="eastAsia"/>
          <w:color w:val="auto"/>
          <w:sz w:val="24"/>
        </w:rPr>
      </w:pPr>
      <w:r>
        <w:rPr>
          <w:rFonts w:hint="eastAsia"/>
          <w:color w:val="auto"/>
          <w:sz w:val="24"/>
        </w:rPr>
        <w:t>3、相差物镜4×、10×、20×、40×                   1套</w:t>
      </w:r>
    </w:p>
    <w:p>
      <w:pPr>
        <w:ind w:firstLine="498" w:firstLineChars="200"/>
        <w:rPr>
          <w:rFonts w:hint="eastAsia"/>
          <w:color w:val="auto"/>
          <w:sz w:val="24"/>
        </w:rPr>
      </w:pPr>
      <w:r>
        <w:rPr>
          <w:rFonts w:hint="eastAsia"/>
          <w:color w:val="auto"/>
          <w:sz w:val="24"/>
        </w:rPr>
        <w:t>4、防尘罩                                           1个</w:t>
      </w:r>
    </w:p>
    <w:p>
      <w:pPr>
        <w:ind w:firstLine="498" w:firstLineChars="200"/>
        <w:rPr>
          <w:rFonts w:hint="eastAsia"/>
          <w:color w:val="auto"/>
          <w:sz w:val="24"/>
        </w:rPr>
      </w:pPr>
      <w:r>
        <w:rPr>
          <w:rFonts w:hint="eastAsia"/>
          <w:color w:val="auto"/>
          <w:sz w:val="24"/>
        </w:rPr>
        <w:t>5、电源线                                           1根</w:t>
      </w:r>
    </w:p>
    <w:p>
      <w:pPr>
        <w:ind w:firstLine="498" w:firstLineChars="200"/>
        <w:rPr>
          <w:rFonts w:hint="eastAsia"/>
          <w:color w:val="auto"/>
          <w:sz w:val="24"/>
        </w:rPr>
      </w:pPr>
      <w:r>
        <w:rPr>
          <w:rFonts w:hint="eastAsia"/>
          <w:color w:val="auto"/>
          <w:sz w:val="24"/>
        </w:rPr>
        <w:t>6、成像系统                                         1套</w:t>
      </w:r>
    </w:p>
    <w:p>
      <w:pPr>
        <w:ind w:firstLine="498" w:firstLineChars="200"/>
        <w:rPr>
          <w:rFonts w:hint="eastAsia"/>
          <w:color w:val="auto"/>
          <w:sz w:val="24"/>
        </w:rPr>
      </w:pPr>
      <w:r>
        <w:rPr>
          <w:rFonts w:hint="eastAsia"/>
          <w:color w:val="auto"/>
          <w:sz w:val="24"/>
        </w:rPr>
        <w:t>7、</w:t>
      </w:r>
      <w:r>
        <w:rPr>
          <w:rFonts w:hint="eastAsia"/>
          <w:color w:val="auto"/>
          <w:sz w:val="24"/>
          <w:lang w:eastAsia="zh-CN"/>
        </w:rPr>
        <w:t>工作站</w:t>
      </w:r>
      <w:r>
        <w:rPr>
          <w:rFonts w:hint="eastAsia"/>
          <w:color w:val="auto"/>
          <w:sz w:val="24"/>
        </w:rPr>
        <w:t xml:space="preserve">                                             1套</w:t>
      </w:r>
    </w:p>
    <w:p>
      <w:pPr>
        <w:pStyle w:val="3"/>
        <w:rPr>
          <w:color w:val="auto"/>
        </w:rPr>
      </w:pPr>
    </w:p>
    <w:p>
      <w:pPr>
        <w:ind w:firstLine="498" w:firstLineChars="200"/>
        <w:rPr>
          <w:color w:val="auto"/>
        </w:rPr>
      </w:pPr>
      <w:r>
        <w:rPr>
          <w:color w:val="auto"/>
          <w:sz w:val="24"/>
        </w:rPr>
        <w:br w:type="page"/>
      </w:r>
    </w:p>
    <w:p>
      <w:pPr>
        <w:pStyle w:val="39"/>
        <w:rPr>
          <w:color w:val="auto"/>
        </w:rPr>
      </w:pPr>
      <w:bookmarkStart w:id="52" w:name="_Toc6839"/>
      <w:r>
        <w:rPr>
          <w:rFonts w:hint="eastAsia"/>
          <w:color w:val="auto"/>
        </w:rPr>
        <w:t>第五章  评审办法</w:t>
      </w:r>
      <w:bookmarkEnd w:id="52"/>
    </w:p>
    <w:p>
      <w:pPr>
        <w:jc w:val="center"/>
        <w:rPr>
          <w:rFonts w:ascii="黑体" w:hAnsi="黑体" w:eastAsia="黑体" w:cs="黑体"/>
          <w:b/>
          <w:bCs/>
          <w:color w:val="auto"/>
          <w:sz w:val="24"/>
        </w:rPr>
      </w:pPr>
      <w:r>
        <w:rPr>
          <w:rFonts w:hint="eastAsia" w:ascii="黑体" w:hAnsi="黑体" w:eastAsia="黑体" w:cs="黑体"/>
          <w:b/>
          <w:bCs/>
          <w:color w:val="auto"/>
          <w:sz w:val="24"/>
        </w:rPr>
        <w:t>1、总则</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pPr>
        <w:spacing w:before="241" w:beforeLines="50" w:after="241" w:afterLines="50" w:line="460" w:lineRule="exact"/>
        <w:ind w:firstLine="498" w:firstLineChars="200"/>
        <w:rPr>
          <w:rFonts w:ascii="宋体" w:hAnsi="宋体"/>
          <w:bCs/>
          <w:color w:val="auto"/>
          <w:sz w:val="24"/>
          <w:szCs w:val="22"/>
        </w:rPr>
      </w:pPr>
      <w:bookmarkStart w:id="53" w:name="_Toc217446098"/>
      <w:r>
        <w:rPr>
          <w:rFonts w:hint="eastAsia" w:ascii="宋体" w:hAnsi="宋体"/>
          <w:bCs/>
          <w:color w:val="auto"/>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pPr>
        <w:jc w:val="center"/>
        <w:rPr>
          <w:rFonts w:ascii="黑体" w:hAnsi="黑体" w:eastAsia="黑体" w:cs="黑体"/>
          <w:b/>
          <w:bCs/>
          <w:color w:val="auto"/>
          <w:sz w:val="24"/>
        </w:rPr>
      </w:pPr>
      <w:r>
        <w:rPr>
          <w:rFonts w:hint="eastAsia" w:ascii="黑体" w:hAnsi="黑体" w:eastAsia="黑体" w:cs="黑体"/>
          <w:b/>
          <w:bCs/>
          <w:color w:val="auto"/>
          <w:sz w:val="24"/>
        </w:rPr>
        <w:t>2、评审方法</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2.1本项目评审方法为：综合评分法。</w:t>
      </w:r>
    </w:p>
    <w:bookmarkEnd w:id="53"/>
    <w:p>
      <w:pPr>
        <w:jc w:val="center"/>
        <w:rPr>
          <w:rFonts w:ascii="黑体" w:hAnsi="黑体" w:eastAsia="黑体" w:cs="黑体"/>
          <w:b/>
          <w:bCs/>
          <w:color w:val="auto"/>
          <w:sz w:val="24"/>
        </w:rPr>
      </w:pPr>
      <w:bookmarkStart w:id="54" w:name="_Toc217446099"/>
    </w:p>
    <w:p>
      <w:pPr>
        <w:jc w:val="center"/>
        <w:rPr>
          <w:rFonts w:ascii="黑体" w:hAnsi="黑体" w:eastAsia="黑体" w:cs="黑体"/>
          <w:b/>
          <w:bCs/>
          <w:color w:val="auto"/>
          <w:sz w:val="24"/>
        </w:rPr>
      </w:pPr>
    </w:p>
    <w:p>
      <w:pPr>
        <w:jc w:val="center"/>
        <w:rPr>
          <w:rFonts w:ascii="黑体" w:hAnsi="黑体" w:eastAsia="黑体" w:cs="黑体"/>
          <w:b/>
          <w:bCs/>
          <w:color w:val="auto"/>
          <w:sz w:val="24"/>
        </w:rPr>
      </w:pPr>
      <w:r>
        <w:rPr>
          <w:rFonts w:hint="eastAsia" w:ascii="黑体" w:hAnsi="黑体" w:eastAsia="黑体" w:cs="黑体"/>
          <w:b/>
          <w:bCs/>
          <w:color w:val="auto"/>
          <w:sz w:val="24"/>
        </w:rPr>
        <w:t>3、评审程序</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rPr>
            </w:pPr>
            <w:r>
              <w:rPr>
                <w:rFonts w:hint="eastAsia"/>
                <w:b/>
                <w:color w:val="auto"/>
                <w:sz w:val="24"/>
              </w:rPr>
              <w:t>序号</w:t>
            </w:r>
          </w:p>
        </w:tc>
        <w:tc>
          <w:tcPr>
            <w:tcW w:w="7117" w:type="dxa"/>
            <w:vMerge w:val="restart"/>
            <w:vAlign w:val="center"/>
          </w:tcPr>
          <w:p>
            <w:pPr>
              <w:jc w:val="center"/>
              <w:rPr>
                <w:b/>
                <w:color w:val="auto"/>
                <w:sz w:val="24"/>
              </w:rPr>
            </w:pPr>
            <w:r>
              <w:rPr>
                <w:rFonts w:hint="eastAsia"/>
                <w:b/>
                <w:color w:val="auto"/>
                <w:sz w:val="24"/>
              </w:rPr>
              <w:t>资格审查内容</w:t>
            </w:r>
          </w:p>
        </w:tc>
        <w:tc>
          <w:tcPr>
            <w:tcW w:w="1842" w:type="dxa"/>
            <w:gridSpan w:val="2"/>
            <w:vAlign w:val="center"/>
          </w:tcPr>
          <w:p>
            <w:pPr>
              <w:jc w:val="center"/>
              <w:rPr>
                <w:b/>
                <w:color w:val="auto"/>
                <w:sz w:val="24"/>
              </w:rPr>
            </w:pPr>
            <w:r>
              <w:rPr>
                <w:rFonts w:hint="eastAsia"/>
                <w:b/>
                <w:color w:val="auto"/>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rPr>
            </w:pPr>
          </w:p>
        </w:tc>
        <w:tc>
          <w:tcPr>
            <w:tcW w:w="7117" w:type="dxa"/>
            <w:vMerge w:val="continue"/>
            <w:vAlign w:val="center"/>
          </w:tcPr>
          <w:p>
            <w:pPr>
              <w:jc w:val="center"/>
              <w:rPr>
                <w:b/>
                <w:color w:val="auto"/>
                <w:sz w:val="24"/>
              </w:rPr>
            </w:pPr>
          </w:p>
        </w:tc>
        <w:tc>
          <w:tcPr>
            <w:tcW w:w="850" w:type="dxa"/>
            <w:vAlign w:val="center"/>
          </w:tcPr>
          <w:p>
            <w:pPr>
              <w:jc w:val="center"/>
              <w:rPr>
                <w:b/>
                <w:color w:val="auto"/>
                <w:sz w:val="24"/>
              </w:rPr>
            </w:pPr>
            <w:r>
              <w:rPr>
                <w:rFonts w:hint="eastAsia"/>
                <w:b/>
                <w:color w:val="auto"/>
                <w:sz w:val="24"/>
              </w:rPr>
              <w:t>通过</w:t>
            </w:r>
          </w:p>
        </w:tc>
        <w:tc>
          <w:tcPr>
            <w:tcW w:w="992" w:type="dxa"/>
            <w:vAlign w:val="center"/>
          </w:tcPr>
          <w:p>
            <w:pPr>
              <w:jc w:val="center"/>
              <w:rPr>
                <w:b/>
                <w:color w:val="auto"/>
                <w:sz w:val="24"/>
              </w:rPr>
            </w:pPr>
            <w:r>
              <w:rPr>
                <w:rFonts w:hint="eastAsia"/>
                <w:b/>
                <w:color w:val="auto"/>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pPr>
              <w:rPr>
                <w:rFonts w:asciiTheme="minorEastAsia" w:hAnsiTheme="minorEastAsia" w:eastAsiaTheme="minorEastAsia" w:cstheme="minorEastAsia"/>
                <w:color w:val="auto"/>
                <w:sz w:val="24"/>
              </w:rPr>
            </w:pPr>
            <w:r>
              <w:rPr>
                <w:rFonts w:hint="eastAsia" w:ascii="宋体" w:hAnsi="宋体"/>
                <w:bCs/>
                <w:color w:val="auto"/>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pPr>
              <w:rPr>
                <w:rFonts w:ascii="宋体" w:hAnsi="宋体"/>
                <w:bCs/>
                <w:color w:val="auto"/>
                <w:kern w:val="0"/>
                <w:sz w:val="24"/>
              </w:rPr>
            </w:pPr>
            <w:r>
              <w:rPr>
                <w:rFonts w:hint="eastAsia" w:ascii="宋体" w:hAnsi="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pPr>
              <w:numPr>
                <w:ilvl w:val="0"/>
                <w:numId w:val="11"/>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rPr>
            </w:pPr>
            <w:r>
              <w:rPr>
                <w:rFonts w:hint="eastAsia"/>
                <w:b/>
                <w:color w:val="auto"/>
                <w:sz w:val="24"/>
              </w:rPr>
              <w:t>序号</w:t>
            </w:r>
          </w:p>
        </w:tc>
        <w:tc>
          <w:tcPr>
            <w:tcW w:w="7117" w:type="dxa"/>
            <w:vMerge w:val="restart"/>
            <w:vAlign w:val="center"/>
          </w:tcPr>
          <w:p>
            <w:pPr>
              <w:jc w:val="center"/>
              <w:rPr>
                <w:b/>
                <w:color w:val="auto"/>
                <w:sz w:val="24"/>
              </w:rPr>
            </w:pPr>
            <w:r>
              <w:rPr>
                <w:rFonts w:hint="eastAsia"/>
                <w:b/>
                <w:color w:val="auto"/>
                <w:sz w:val="24"/>
              </w:rPr>
              <w:t>符合性审查内容</w:t>
            </w:r>
          </w:p>
        </w:tc>
        <w:tc>
          <w:tcPr>
            <w:tcW w:w="1842" w:type="dxa"/>
            <w:gridSpan w:val="2"/>
            <w:vAlign w:val="center"/>
          </w:tcPr>
          <w:p>
            <w:pPr>
              <w:jc w:val="center"/>
              <w:rPr>
                <w:b/>
                <w:color w:val="auto"/>
                <w:sz w:val="24"/>
              </w:rPr>
            </w:pPr>
            <w:r>
              <w:rPr>
                <w:rFonts w:hint="eastAsia"/>
                <w:b/>
                <w:color w:val="auto"/>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rPr>
            </w:pPr>
          </w:p>
        </w:tc>
        <w:tc>
          <w:tcPr>
            <w:tcW w:w="7117" w:type="dxa"/>
            <w:vMerge w:val="continue"/>
            <w:vAlign w:val="center"/>
          </w:tcPr>
          <w:p>
            <w:pPr>
              <w:jc w:val="center"/>
              <w:rPr>
                <w:b/>
                <w:color w:val="auto"/>
                <w:sz w:val="24"/>
              </w:rPr>
            </w:pPr>
          </w:p>
        </w:tc>
        <w:tc>
          <w:tcPr>
            <w:tcW w:w="850" w:type="dxa"/>
            <w:vAlign w:val="center"/>
          </w:tcPr>
          <w:p>
            <w:pPr>
              <w:jc w:val="center"/>
              <w:rPr>
                <w:b/>
                <w:color w:val="auto"/>
                <w:sz w:val="24"/>
              </w:rPr>
            </w:pPr>
            <w:r>
              <w:rPr>
                <w:rFonts w:hint="eastAsia"/>
                <w:b/>
                <w:color w:val="auto"/>
                <w:sz w:val="24"/>
              </w:rPr>
              <w:t>通过</w:t>
            </w:r>
          </w:p>
        </w:tc>
        <w:tc>
          <w:tcPr>
            <w:tcW w:w="992" w:type="dxa"/>
            <w:vAlign w:val="center"/>
          </w:tcPr>
          <w:p>
            <w:pPr>
              <w:jc w:val="center"/>
              <w:rPr>
                <w:b/>
                <w:color w:val="auto"/>
                <w:sz w:val="24"/>
              </w:rPr>
            </w:pPr>
            <w:r>
              <w:rPr>
                <w:rFonts w:hint="eastAsia"/>
                <w:b/>
                <w:color w:val="auto"/>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1</w:t>
            </w:r>
          </w:p>
        </w:tc>
        <w:tc>
          <w:tcPr>
            <w:tcW w:w="7117" w:type="dxa"/>
            <w:vAlign w:val="center"/>
          </w:tcPr>
          <w:p>
            <w:pPr>
              <w:rPr>
                <w:color w:val="auto"/>
                <w:sz w:val="24"/>
              </w:rPr>
            </w:pPr>
            <w:r>
              <w:rPr>
                <w:rFonts w:hint="eastAsia"/>
                <w:color w:val="auto"/>
                <w:sz w:val="24"/>
              </w:rPr>
              <w:t>采购申请文件正副本数量是否符合采购文件规定</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2</w:t>
            </w:r>
          </w:p>
        </w:tc>
        <w:tc>
          <w:tcPr>
            <w:tcW w:w="7117" w:type="dxa"/>
            <w:vAlign w:val="center"/>
          </w:tcPr>
          <w:p>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3</w:t>
            </w:r>
          </w:p>
        </w:tc>
        <w:tc>
          <w:tcPr>
            <w:tcW w:w="7117" w:type="dxa"/>
            <w:vAlign w:val="center"/>
          </w:tcPr>
          <w:p>
            <w:pPr>
              <w:rPr>
                <w:color w:val="auto"/>
                <w:sz w:val="24"/>
              </w:rPr>
            </w:pPr>
            <w:r>
              <w:rPr>
                <w:rFonts w:hint="eastAsia"/>
                <w:color w:val="auto"/>
                <w:sz w:val="24"/>
              </w:rPr>
              <w:t>采购报价不符合采购文件规定的限价或其他报价规定的</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4</w:t>
            </w:r>
          </w:p>
        </w:tc>
        <w:tc>
          <w:tcPr>
            <w:tcW w:w="7117" w:type="dxa"/>
            <w:vAlign w:val="center"/>
          </w:tcPr>
          <w:p>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5</w:t>
            </w:r>
          </w:p>
        </w:tc>
        <w:tc>
          <w:tcPr>
            <w:tcW w:w="7117" w:type="dxa"/>
            <w:vAlign w:val="center"/>
          </w:tcPr>
          <w:p>
            <w:pPr>
              <w:rPr>
                <w:color w:val="auto"/>
                <w:sz w:val="24"/>
              </w:rPr>
            </w:pPr>
            <w:r>
              <w:rPr>
                <w:rFonts w:hint="eastAsia"/>
                <w:color w:val="auto"/>
                <w:sz w:val="24"/>
              </w:rPr>
              <w:t>采购申请文件是否完全满足本项目的实质性要求</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6</w:t>
            </w:r>
          </w:p>
        </w:tc>
        <w:tc>
          <w:tcPr>
            <w:tcW w:w="7117" w:type="dxa"/>
            <w:vAlign w:val="center"/>
          </w:tcPr>
          <w:p>
            <w:pPr>
              <w:rPr>
                <w:color w:val="auto"/>
                <w:sz w:val="24"/>
              </w:rPr>
            </w:pPr>
            <w:r>
              <w:rPr>
                <w:rFonts w:hint="eastAsia"/>
                <w:color w:val="auto"/>
                <w:sz w:val="24"/>
              </w:rPr>
              <w:t>采购文件规定的其它无效情形</w:t>
            </w:r>
          </w:p>
        </w:tc>
        <w:tc>
          <w:tcPr>
            <w:tcW w:w="850" w:type="dxa"/>
            <w:vAlign w:val="center"/>
          </w:tcPr>
          <w:p>
            <w:pPr>
              <w:rPr>
                <w:color w:val="auto"/>
                <w:sz w:val="24"/>
              </w:rPr>
            </w:pPr>
          </w:p>
        </w:tc>
        <w:tc>
          <w:tcPr>
            <w:tcW w:w="992" w:type="dxa"/>
            <w:vAlign w:val="center"/>
          </w:tcPr>
          <w:p>
            <w:pPr>
              <w:rPr>
                <w:color w:val="auto"/>
                <w:sz w:val="24"/>
              </w:rPr>
            </w:pPr>
          </w:p>
        </w:tc>
      </w:tr>
    </w:tbl>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（4）其他不影响采购项目实质性要求的情形。</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3.3比较与评价。按采购文件中规定的评审方法和标准，对资格性检查和符合性检查合格的采购申请文件进行评估，综合比较与评价。</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3.4推荐候选申请人</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3.4.1本项目采用综合评分法，推荐候选申请人按评审后得分由高到低顺序排列。</w:t>
      </w:r>
    </w:p>
    <w:p>
      <w:pPr>
        <w:jc w:val="center"/>
        <w:rPr>
          <w:rFonts w:ascii="黑体" w:hAnsi="黑体" w:eastAsia="黑体" w:cs="黑体"/>
          <w:b/>
          <w:bCs/>
          <w:color w:val="auto"/>
          <w:sz w:val="24"/>
        </w:rPr>
      </w:pPr>
      <w:bookmarkStart w:id="58" w:name="_Toc217446103"/>
      <w:r>
        <w:rPr>
          <w:rFonts w:hint="eastAsia" w:ascii="黑体" w:hAnsi="黑体" w:eastAsia="黑体" w:cs="黑体"/>
          <w:b/>
          <w:bCs/>
          <w:color w:val="auto"/>
          <w:sz w:val="24"/>
        </w:rPr>
        <w:t>4、评审细则及标准</w:t>
      </w:r>
      <w:bookmarkEnd w:id="58"/>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w:t>
      </w:r>
      <w:r>
        <w:rPr>
          <w:rFonts w:hAnsi="宋体"/>
          <w:color w:val="auto"/>
          <w:sz w:val="24"/>
        </w:rPr>
        <w:t>2</w:t>
      </w:r>
      <w:r>
        <w:rPr>
          <w:rFonts w:hint="eastAsia" w:hAnsi="宋体"/>
          <w:color w:val="auto"/>
          <w:sz w:val="24"/>
        </w:rPr>
        <w:t>综合评分明细表</w:t>
      </w:r>
      <w:bookmarkStart w:id="59"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bookmarkStart w:id="60" w:name="OLE_LINK2" w:colFirst="0" w:colLast="4"/>
            <w:r>
              <w:rPr>
                <w:rFonts w:hint="eastAsia" w:ascii="宋体" w:hAnsi="宋体" w:cs="宋体"/>
                <w:b/>
                <w:color w:val="auto"/>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评分标准</w:t>
            </w:r>
          </w:p>
        </w:tc>
        <w:tc>
          <w:tcPr>
            <w:tcW w:w="1134"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备注</w:t>
            </w:r>
          </w:p>
        </w:tc>
      </w:tr>
      <w:tr>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720"/>
              </w:tabs>
              <w:spacing w:line="360" w:lineRule="exact"/>
              <w:rPr>
                <w:rFonts w:ascii="宋体" w:hAnsi="宋体" w:cs="宋体"/>
                <w:color w:val="auto"/>
                <w:szCs w:val="21"/>
              </w:rPr>
            </w:pPr>
            <w:r>
              <w:rPr>
                <w:rFonts w:hint="eastAsia" w:ascii="宋体" w:hAnsi="宋体" w:cs="宋体"/>
                <w:color w:val="auto"/>
                <w:szCs w:val="21"/>
              </w:rPr>
              <w:t>以本次最低有效报价为基准价，报价得分=(基准价／报价)×</w:t>
            </w:r>
            <w:r>
              <w:rPr>
                <w:rFonts w:ascii="宋体" w:hAnsi="宋体" w:cs="宋体"/>
                <w:color w:val="auto"/>
                <w:szCs w:val="21"/>
              </w:rPr>
              <w:t>4</w:t>
            </w:r>
            <w:r>
              <w:rPr>
                <w:rFonts w:hint="eastAsia" w:ascii="宋体" w:hAnsi="宋体" w:cs="宋体"/>
                <w:color w:val="auto"/>
                <w:szCs w:val="21"/>
              </w:rPr>
              <w:t>0。得分保留2位小数。</w:t>
            </w:r>
          </w:p>
          <w:p>
            <w:pPr>
              <w:tabs>
                <w:tab w:val="left" w:pos="720"/>
              </w:tabs>
              <w:spacing w:line="360" w:lineRule="exact"/>
              <w:rPr>
                <w:rFonts w:ascii="宋体" w:hAnsi="宋体" w:cs="宋体"/>
                <w:color w:val="auto"/>
                <w:szCs w:val="21"/>
              </w:rPr>
            </w:pPr>
            <w:r>
              <w:rPr>
                <w:rFonts w:hint="eastAsia" w:ascii="宋体" w:hAnsi="宋体" w:cs="宋体"/>
                <w:color w:val="auto"/>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pPr>
              <w:autoSpaceDN w:val="0"/>
              <w:spacing w:line="360" w:lineRule="exact"/>
              <w:rPr>
                <w:rFonts w:ascii="宋体" w:hAnsi="宋体" w:cs="宋体"/>
                <w:color w:val="auto"/>
                <w:szCs w:val="21"/>
              </w:rPr>
            </w:pPr>
            <w:r>
              <w:rPr>
                <w:rFonts w:hint="eastAsia" w:ascii="宋体" w:hAnsi="宋体" w:cs="宋体"/>
                <w:color w:val="auto"/>
                <w:szCs w:val="21"/>
              </w:rPr>
              <w:t>共同评分因素</w:t>
            </w:r>
          </w:p>
        </w:tc>
      </w:tr>
      <w:tr>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40分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720"/>
              </w:tabs>
              <w:spacing w:before="241" w:beforeLines="50" w:line="360" w:lineRule="exact"/>
              <w:jc w:val="left"/>
              <w:rPr>
                <w:rFonts w:ascii="宋体" w:hAnsi="宋体" w:cs="宋体"/>
                <w:color w:val="auto"/>
              </w:rPr>
            </w:pPr>
            <w:r>
              <w:rPr>
                <w:rFonts w:hint="eastAsia" w:ascii="宋体" w:hAnsi="宋体" w:cs="宋体"/>
                <w:color w:val="auto"/>
              </w:rPr>
              <w:t>技术指标和配置得分=普通参数得分（2</w:t>
            </w:r>
            <w:r>
              <w:rPr>
                <w:rFonts w:ascii="宋体" w:hAnsi="宋体" w:cs="宋体"/>
                <w:color w:val="auto"/>
              </w:rPr>
              <w:t>5</w:t>
            </w:r>
            <w:r>
              <w:rPr>
                <w:rFonts w:hint="eastAsia" w:ascii="宋体" w:hAnsi="宋体" w:cs="宋体"/>
                <w:color w:val="auto"/>
              </w:rPr>
              <w:t>分）+重要参数得分（</w:t>
            </w:r>
            <w:r>
              <w:rPr>
                <w:rFonts w:ascii="宋体" w:hAnsi="宋体" w:cs="宋体"/>
                <w:color w:val="auto"/>
              </w:rPr>
              <w:t>15</w:t>
            </w:r>
            <w:r>
              <w:rPr>
                <w:rFonts w:hint="eastAsia" w:ascii="宋体" w:hAnsi="宋体" w:cs="宋体"/>
                <w:color w:val="auto"/>
              </w:rPr>
              <w:t>分）</w:t>
            </w:r>
            <w:r>
              <w:rPr>
                <w:rFonts w:hint="eastAsia" w:ascii="宋体" w:hAnsi="宋体" w:cs="宋体"/>
                <w:b/>
                <w:bCs/>
                <w:color w:val="auto"/>
              </w:rPr>
              <w:t>注：</w:t>
            </w:r>
            <w:r>
              <w:rPr>
                <w:rFonts w:hint="eastAsia" w:ascii="宋体" w:hAnsi="宋体" w:cs="宋体"/>
                <w:color w:val="auto"/>
              </w:rPr>
              <w:t>普通参数为非“★”、“▲”号的参数；重要参数为“▲”号参数。</w:t>
            </w:r>
          </w:p>
          <w:p>
            <w:pPr>
              <w:tabs>
                <w:tab w:val="left" w:pos="720"/>
              </w:tabs>
              <w:spacing w:line="360" w:lineRule="exact"/>
              <w:rPr>
                <w:rFonts w:ascii="宋体" w:hAnsi="宋体" w:cs="宋体"/>
                <w:color w:val="auto"/>
              </w:rPr>
            </w:pPr>
            <w:r>
              <w:rPr>
                <w:rFonts w:hint="eastAsia" w:ascii="宋体" w:hAnsi="宋体" w:cs="宋体"/>
                <w:color w:val="auto"/>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color w:val="auto"/>
              </w:rPr>
              <w:t>5</w:t>
            </w:r>
            <w:r>
              <w:rPr>
                <w:rFonts w:hint="eastAsia" w:ascii="宋体" w:hAnsi="宋体" w:cs="宋体"/>
                <w:color w:val="auto"/>
              </w:rPr>
              <w:t>；重要参数得分=（供应商满足重要技术参数要求条款的数量÷重要技术参数要求条款总数量）×</w:t>
            </w:r>
            <w:r>
              <w:rPr>
                <w:rFonts w:ascii="宋体" w:hAnsi="宋体" w:cs="宋体"/>
                <w:color w:val="auto"/>
              </w:rPr>
              <w:t>15</w:t>
            </w:r>
            <w:r>
              <w:rPr>
                <w:rFonts w:hint="eastAsia" w:ascii="宋体" w:hAnsi="宋体" w:cs="宋体"/>
                <w:color w:val="auto"/>
              </w:rPr>
              <w:t>。得分保留2位小数。</w:t>
            </w:r>
          </w:p>
          <w:p>
            <w:pPr>
              <w:tabs>
                <w:tab w:val="left" w:pos="720"/>
              </w:tabs>
              <w:spacing w:line="360" w:lineRule="exact"/>
              <w:rPr>
                <w:rFonts w:ascii="宋体" w:hAnsi="宋体" w:cs="宋体"/>
                <w:color w:val="auto"/>
              </w:rPr>
            </w:pPr>
            <w:r>
              <w:rPr>
                <w:rFonts w:hint="eastAsia" w:ascii="宋体" w:hAnsi="宋体" w:cs="宋体"/>
                <w:color w:val="auto"/>
              </w:rPr>
              <w:t>注：①以上参与评分技术参数条款为非“★”号条款。“★”号条款为实质性要求，不参与本项评分。</w:t>
            </w:r>
          </w:p>
          <w:p>
            <w:pPr>
              <w:tabs>
                <w:tab w:val="left" w:pos="720"/>
              </w:tabs>
              <w:spacing w:line="360" w:lineRule="exact"/>
              <w:rPr>
                <w:rFonts w:ascii="宋体" w:hAnsi="宋体" w:cs="宋体"/>
                <w:color w:val="auto"/>
              </w:rPr>
            </w:pPr>
            <w:r>
              <w:rPr>
                <w:rFonts w:hint="eastAsia" w:ascii="宋体" w:hAnsi="宋体" w:cs="宋体"/>
                <w:color w:val="auto"/>
              </w:rPr>
              <w:t>②以一级序号数字（如 “1.”“2.”“3.”……）为一项（标题除外）；数字序号下有多级序号的，以最小级数字序号为1项。</w:t>
            </w:r>
          </w:p>
          <w:p>
            <w:pPr>
              <w:tabs>
                <w:tab w:val="left" w:pos="720"/>
              </w:tabs>
              <w:spacing w:line="360" w:lineRule="exact"/>
              <w:rPr>
                <w:rFonts w:ascii="宋体" w:hAnsi="宋体" w:cs="宋体"/>
                <w:color w:val="auto"/>
              </w:rPr>
            </w:pPr>
            <w:r>
              <w:rPr>
                <w:rFonts w:hint="eastAsia" w:ascii="宋体" w:hAnsi="宋体" w:cs="宋体"/>
                <w:color w:val="auto"/>
              </w:rPr>
              <w:t>③带“★”、“▲”号的参数条款需提供①制造商产品彩页资料或②检测报告或③技术白皮书数据手册或④使用说明书等予以佐证。</w:t>
            </w:r>
          </w:p>
        </w:tc>
        <w:tc>
          <w:tcPr>
            <w:tcW w:w="1134" w:type="dxa"/>
            <w:tcBorders>
              <w:top w:val="single" w:color="000000" w:sz="4" w:space="0"/>
              <w:bottom w:val="single" w:color="000000" w:sz="4" w:space="0"/>
              <w:right w:val="single" w:color="000000" w:sz="4" w:space="0"/>
            </w:tcBorders>
            <w:vAlign w:val="center"/>
          </w:tcPr>
          <w:p>
            <w:pPr>
              <w:tabs>
                <w:tab w:val="left" w:pos="720"/>
              </w:tabs>
              <w:spacing w:line="360" w:lineRule="exact"/>
              <w:rPr>
                <w:rFonts w:ascii="宋体" w:hAnsi="宋体" w:cs="宋体"/>
                <w:color w:val="auto"/>
                <w:szCs w:val="21"/>
              </w:rPr>
            </w:pPr>
            <w:r>
              <w:rPr>
                <w:rFonts w:hint="eastAsia" w:ascii="宋体" w:hAnsi="宋体" w:cs="宋体"/>
                <w:color w:val="auto"/>
                <w:szCs w:val="21"/>
              </w:rPr>
              <w:t>技术评分因素</w:t>
            </w:r>
          </w:p>
          <w:p>
            <w:pPr>
              <w:tabs>
                <w:tab w:val="left" w:pos="720"/>
              </w:tabs>
              <w:spacing w:line="360" w:lineRule="exact"/>
              <w:rPr>
                <w:rFonts w:ascii="宋体" w:hAnsi="宋体" w:cs="宋体"/>
                <w:color w:val="auto"/>
                <w:szCs w:val="21"/>
              </w:rPr>
            </w:pPr>
            <w:r>
              <w:rPr>
                <w:rFonts w:hint="eastAsia" w:ascii="宋体" w:hAnsi="宋体" w:cs="宋体"/>
                <w:color w:val="auto"/>
                <w:szCs w:val="21"/>
              </w:rPr>
              <w:t>采购申请人须认真核实所有技术支持资料，并对其在采购申请文件中提供的技术支持资料的真实性负责，并承担由此带来的一切法律责任和后果。</w:t>
            </w:r>
          </w:p>
        </w:tc>
      </w:tr>
      <w:tr>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ascii="宋体" w:hAnsi="宋体" w:cs="宋体"/>
                <w:color w:val="auto"/>
                <w:szCs w:val="21"/>
              </w:rPr>
            </w:pPr>
            <w:r>
              <w:rPr>
                <w:rFonts w:hint="eastAsia" w:ascii="宋体" w:hAnsi="宋体" w:cs="宋体"/>
                <w:color w:val="auto"/>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hint="eastAsia" w:ascii="宋体" w:hAnsi="宋体" w:cs="宋体"/>
                <w:color w:val="auto"/>
                <w:szCs w:val="21"/>
              </w:rPr>
              <w:t>质保1年不得分；质保2年得</w:t>
            </w:r>
            <w:r>
              <w:rPr>
                <w:rFonts w:ascii="宋体" w:hAnsi="宋体" w:cs="宋体"/>
                <w:color w:val="auto"/>
                <w:szCs w:val="21"/>
              </w:rPr>
              <w:t>3</w:t>
            </w:r>
            <w:r>
              <w:rPr>
                <w:rFonts w:hint="eastAsia" w:ascii="宋体" w:hAnsi="宋体" w:cs="宋体"/>
                <w:color w:val="auto"/>
                <w:szCs w:val="21"/>
              </w:rPr>
              <w:t>分；质保3年得</w:t>
            </w:r>
            <w:r>
              <w:rPr>
                <w:rFonts w:ascii="宋体" w:hAnsi="宋体" w:cs="宋体"/>
                <w:color w:val="auto"/>
                <w:szCs w:val="21"/>
              </w:rPr>
              <w:t>6</w:t>
            </w:r>
            <w:r>
              <w:rPr>
                <w:rFonts w:hint="eastAsia" w:ascii="宋体" w:hAnsi="宋体" w:cs="宋体"/>
                <w:color w:val="auto"/>
                <w:szCs w:val="21"/>
              </w:rPr>
              <w:t>分；质保4年得</w:t>
            </w:r>
            <w:r>
              <w:rPr>
                <w:rFonts w:ascii="宋体" w:hAnsi="宋体" w:cs="宋体"/>
                <w:color w:val="auto"/>
                <w:szCs w:val="21"/>
              </w:rPr>
              <w:t>10</w:t>
            </w:r>
            <w:r>
              <w:rPr>
                <w:rFonts w:hint="eastAsia" w:ascii="宋体" w:hAnsi="宋体" w:cs="宋体"/>
                <w:color w:val="auto"/>
                <w:szCs w:val="21"/>
              </w:rPr>
              <w:t>分；质保5年及以上得</w:t>
            </w:r>
            <w:r>
              <w:rPr>
                <w:rFonts w:ascii="宋体" w:hAnsi="宋体" w:cs="宋体"/>
                <w:color w:val="auto"/>
                <w:szCs w:val="21"/>
              </w:rPr>
              <w:t>15</w:t>
            </w:r>
            <w:r>
              <w:rPr>
                <w:rFonts w:hint="eastAsia" w:ascii="宋体" w:hAnsi="宋体" w:cs="宋体"/>
                <w:color w:val="auto"/>
                <w:szCs w:val="21"/>
              </w:rPr>
              <w:t>分，最多得</w:t>
            </w:r>
            <w:r>
              <w:rPr>
                <w:rFonts w:ascii="宋体" w:hAnsi="宋体" w:cs="宋体"/>
                <w:color w:val="auto"/>
                <w:szCs w:val="21"/>
              </w:rPr>
              <w:t>15</w:t>
            </w:r>
            <w:r>
              <w:rPr>
                <w:rFonts w:hint="eastAsia" w:ascii="宋体" w:hAnsi="宋体" w:cs="宋体"/>
                <w:color w:val="auto"/>
                <w:szCs w:val="21"/>
              </w:rPr>
              <w:t>分。</w:t>
            </w:r>
          </w:p>
        </w:tc>
        <w:tc>
          <w:tcPr>
            <w:tcW w:w="1134" w:type="dxa"/>
            <w:tcBorders>
              <w:top w:val="single" w:color="000000" w:sz="4" w:space="0"/>
              <w:bottom w:val="single" w:color="000000" w:sz="4" w:space="0"/>
              <w:right w:val="single" w:color="000000" w:sz="4" w:space="0"/>
            </w:tcBorders>
            <w:vAlign w:val="center"/>
          </w:tcPr>
          <w:p>
            <w:pPr>
              <w:autoSpaceDN w:val="0"/>
              <w:spacing w:line="360" w:lineRule="exact"/>
              <w:rPr>
                <w:rFonts w:ascii="宋体" w:hAnsi="宋体" w:cs="宋体"/>
                <w:color w:val="auto"/>
                <w:szCs w:val="21"/>
              </w:rPr>
            </w:pPr>
            <w:r>
              <w:rPr>
                <w:rFonts w:hint="eastAsia" w:ascii="宋体" w:hAnsi="宋体" w:cs="宋体"/>
                <w:color w:val="auto"/>
                <w:szCs w:val="21"/>
              </w:rPr>
              <w:t>设备质保需全保。</w:t>
            </w:r>
          </w:p>
        </w:tc>
      </w:tr>
      <w:tr>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ascii="宋体" w:hAnsi="宋体" w:cs="宋体"/>
                <w:color w:val="auto"/>
                <w:szCs w:val="21"/>
              </w:rPr>
            </w:pPr>
            <w:r>
              <w:rPr>
                <w:rFonts w:hint="eastAsia" w:ascii="宋体" w:hAnsi="宋体" w:cs="宋体"/>
                <w:color w:val="auto"/>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hint="eastAsia" w:ascii="宋体" w:hAnsi="宋体" w:cs="宋体"/>
                <w:color w:val="auto"/>
                <w:szCs w:val="21"/>
              </w:rPr>
              <w:t>评标委员会根据供应商同类产品销售业绩（2020年1月1日-至递交投标文件截止日）进行评定，每提供一个业绩得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4</w:t>
            </w:r>
            <w:r>
              <w:rPr>
                <w:rFonts w:hint="eastAsia" w:ascii="宋体" w:hAnsi="宋体" w:cs="宋体"/>
                <w:color w:val="auto"/>
                <w:szCs w:val="21"/>
              </w:rPr>
              <w:t>分。</w:t>
            </w:r>
          </w:p>
        </w:tc>
        <w:tc>
          <w:tcPr>
            <w:tcW w:w="1134" w:type="dxa"/>
            <w:tcBorders>
              <w:top w:val="single" w:color="000000" w:sz="4" w:space="0"/>
              <w:bottom w:val="single" w:color="000000" w:sz="4" w:space="0"/>
              <w:right w:val="single" w:color="000000" w:sz="4" w:space="0"/>
            </w:tcBorders>
            <w:vAlign w:val="center"/>
          </w:tcPr>
          <w:p>
            <w:pPr>
              <w:autoSpaceDN w:val="0"/>
              <w:spacing w:line="360" w:lineRule="exact"/>
              <w:rPr>
                <w:rFonts w:ascii="宋体" w:hAnsi="宋体" w:cs="宋体"/>
                <w:color w:val="auto"/>
                <w:szCs w:val="21"/>
              </w:rPr>
            </w:pPr>
            <w:r>
              <w:rPr>
                <w:rFonts w:hint="eastAsia" w:ascii="宋体" w:hAnsi="宋体" w:cs="宋体"/>
                <w:color w:val="auto"/>
                <w:szCs w:val="21"/>
              </w:rPr>
              <w:t>提供销售合同或中标（成交）通知书复印件。</w:t>
            </w:r>
          </w:p>
        </w:tc>
      </w:tr>
      <w:tr>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hint="eastAsia" w:ascii="宋体" w:hAnsi="宋体" w:cs="宋体"/>
                <w:color w:val="auto"/>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pPr>
              <w:autoSpaceDN w:val="0"/>
              <w:spacing w:line="360" w:lineRule="auto"/>
              <w:rPr>
                <w:rFonts w:ascii="宋体" w:hAnsi="宋体" w:cs="宋体"/>
                <w:color w:val="auto"/>
                <w:szCs w:val="21"/>
              </w:rPr>
            </w:pPr>
          </w:p>
        </w:tc>
      </w:tr>
      <w:bookmarkEnd w:id="60"/>
    </w:tbl>
    <w:p>
      <w:pPr>
        <w:jc w:val="center"/>
        <w:rPr>
          <w:rFonts w:ascii="黑体" w:hAnsi="黑体" w:eastAsia="黑体" w:cs="黑体"/>
          <w:b/>
          <w:bCs/>
          <w:color w:val="auto"/>
          <w:sz w:val="24"/>
        </w:rPr>
      </w:pPr>
      <w:r>
        <w:rPr>
          <w:rFonts w:hint="eastAsia" w:ascii="黑体" w:hAnsi="黑体" w:eastAsia="黑体" w:cs="黑体"/>
          <w:b/>
          <w:bCs/>
          <w:color w:val="auto"/>
          <w:sz w:val="24"/>
        </w:rPr>
        <w:t>5、重新组织</w:t>
      </w:r>
    </w:p>
    <w:p>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pPr>
        <w:spacing w:before="241" w:beforeLines="50" w:after="241" w:afterLines="50" w:line="460" w:lineRule="exact"/>
        <w:ind w:firstLine="498" w:firstLineChars="200"/>
        <w:rPr>
          <w:rFonts w:hAnsi="宋体"/>
          <w:color w:val="auto"/>
          <w:sz w:val="24"/>
        </w:rPr>
      </w:pPr>
      <w:r>
        <w:rPr>
          <w:rFonts w:hint="eastAsia" w:hAnsi="宋体"/>
          <w:color w:val="auto"/>
          <w:sz w:val="24"/>
        </w:rPr>
        <w:t>（1）第一次挂网采购，截止采购时间，递交的采购申请文件少于3家的；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（2）第一次挂网采购，通过本章3.1采购申请文件初审的采购申请人少于3家的；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（3）出现影响采购公正的违法、违规行为的。</w:t>
      </w:r>
    </w:p>
    <w:bookmarkEnd w:id="54"/>
    <w:bookmarkEnd w:id="59"/>
    <w:p>
      <w:pPr>
        <w:jc w:val="center"/>
        <w:rPr>
          <w:rFonts w:ascii="黑体" w:hAnsi="黑体" w:eastAsia="黑体" w:cs="黑体"/>
          <w:b/>
          <w:bCs/>
          <w:color w:val="auto"/>
          <w:sz w:val="24"/>
        </w:rPr>
      </w:pPr>
      <w:bookmarkStart w:id="61" w:name="_Toc183682432"/>
      <w:bookmarkStart w:id="62" w:name="_Toc208849022"/>
      <w:bookmarkStart w:id="63" w:name="_Toc217446105"/>
      <w:bookmarkStart w:id="64" w:name="_Toc183582297"/>
      <w:r>
        <w:rPr>
          <w:rFonts w:hint="eastAsia" w:ascii="黑体" w:hAnsi="黑体" w:eastAsia="黑体" w:cs="黑体"/>
          <w:b/>
          <w:bCs/>
          <w:color w:val="auto"/>
          <w:sz w:val="24"/>
        </w:rPr>
        <w:t>6、</w:t>
      </w:r>
      <w:bookmarkStart w:id="65" w:name="_Toc217446061"/>
      <w:r>
        <w:rPr>
          <w:rFonts w:hint="eastAsia" w:ascii="黑体" w:hAnsi="黑体" w:eastAsia="黑体" w:cs="黑体"/>
          <w:b/>
          <w:bCs/>
          <w:color w:val="auto"/>
          <w:sz w:val="24"/>
        </w:rPr>
        <w:t>成交人的确定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6.1. 确定原则</w:t>
      </w:r>
      <w:bookmarkEnd w:id="65"/>
      <w:r>
        <w:rPr>
          <w:rFonts w:hint="eastAsia" w:hAnsi="宋体"/>
          <w:color w:val="auto"/>
          <w:sz w:val="24"/>
        </w:rPr>
        <w:t>：</w:t>
      </w:r>
    </w:p>
    <w:p>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color w:val="auto"/>
          <w:sz w:val="24"/>
        </w:rPr>
      </w:pPr>
      <w:bookmarkStart w:id="66" w:name="_Toc217446062"/>
      <w:r>
        <w:rPr>
          <w:rFonts w:hint="eastAsia" w:hAnsi="宋体"/>
          <w:color w:val="auto"/>
          <w:sz w:val="24"/>
        </w:rPr>
        <w:t>1）成交候选人放弃中选的；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 确定程序</w:t>
      </w:r>
      <w:bookmarkEnd w:id="66"/>
    </w:p>
    <w:p>
      <w:pPr>
        <w:spacing w:before="241" w:beforeLines="50" w:after="241" w:afterLines="50" w:line="500" w:lineRule="exact"/>
        <w:ind w:firstLine="498" w:firstLineChars="200"/>
        <w:rPr>
          <w:rFonts w:hAnsi="宋体"/>
          <w:color w:val="auto"/>
          <w:sz w:val="24"/>
        </w:rPr>
      </w:pPr>
      <w:r>
        <w:rPr>
          <w:rFonts w:hint="eastAsia" w:hAnsi="宋体"/>
          <w:color w:val="auto"/>
          <w:sz w:val="24"/>
        </w:rPr>
        <w:t>6.2.1 评审委员会汇总评分结果，并推荐成交候选人，并按照综合得分高低标明排列顺序。综合得分相同的，按价格由低到高排列。</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 采购人不解释成交或落选原因，不退回申请文件和其他相关资料。</w:t>
      </w:r>
    </w:p>
    <w:p>
      <w:pPr>
        <w:jc w:val="center"/>
        <w:rPr>
          <w:rFonts w:ascii="黑体" w:hAnsi="黑体" w:eastAsia="黑体" w:cs="黑体"/>
          <w:b/>
          <w:bCs/>
          <w:color w:val="auto"/>
          <w:sz w:val="24"/>
        </w:rPr>
      </w:pPr>
      <w:r>
        <w:rPr>
          <w:rFonts w:hint="eastAsia" w:ascii="黑体" w:hAnsi="黑体" w:eastAsia="黑体" w:cs="黑体"/>
          <w:b/>
          <w:bCs/>
          <w:color w:val="auto"/>
          <w:sz w:val="24"/>
        </w:rPr>
        <w:t>7、</w:t>
      </w:r>
      <w:bookmarkEnd w:id="61"/>
      <w:bookmarkEnd w:id="62"/>
      <w:bookmarkEnd w:id="63"/>
      <w:bookmarkEnd w:id="64"/>
      <w:r>
        <w:rPr>
          <w:rFonts w:hint="eastAsia" w:ascii="黑体" w:hAnsi="黑体" w:eastAsia="黑体" w:cs="黑体"/>
          <w:b/>
          <w:bCs/>
          <w:color w:val="auto"/>
          <w:sz w:val="24"/>
        </w:rPr>
        <w:t>评审专家在采购活动中承担以下义务：</w:t>
      </w:r>
    </w:p>
    <w:p>
      <w:pPr>
        <w:spacing w:before="241" w:beforeLines="50" w:after="241" w:afterLines="50" w:line="460" w:lineRule="exact"/>
        <w:ind w:firstLine="498" w:firstLineChars="200"/>
        <w:rPr>
          <w:rFonts w:hAnsi="宋体"/>
          <w:color w:val="auto"/>
          <w:sz w:val="24"/>
        </w:rPr>
      </w:pPr>
      <w:r>
        <w:rPr>
          <w:rFonts w:hint="eastAsia" w:hAnsi="宋体"/>
          <w:color w:val="auto"/>
          <w:sz w:val="24"/>
        </w:rPr>
        <w:t>7.1 遵纪守法，客观、公正、廉洁地履行职责。</w:t>
      </w:r>
    </w:p>
    <w:p>
      <w:pPr>
        <w:spacing w:before="241" w:beforeLines="50" w:after="241" w:afterLines="50" w:line="460" w:lineRule="exact"/>
        <w:ind w:firstLine="498"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pPr>
        <w:spacing w:before="241" w:beforeLines="50" w:after="241" w:afterLines="50" w:line="460" w:lineRule="exact"/>
        <w:ind w:firstLine="498"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pPr>
        <w:jc w:val="center"/>
        <w:rPr>
          <w:rFonts w:ascii="黑体" w:hAnsi="黑体" w:eastAsia="黑体" w:cs="黑体"/>
          <w:b/>
          <w:bCs/>
          <w:color w:val="auto"/>
          <w:sz w:val="24"/>
        </w:rPr>
      </w:pPr>
      <w:r>
        <w:rPr>
          <w:rFonts w:hint="eastAsia" w:ascii="黑体" w:hAnsi="黑体" w:eastAsia="黑体" w:cs="黑体"/>
          <w:b/>
          <w:bCs/>
          <w:color w:val="auto"/>
          <w:sz w:val="24"/>
        </w:rPr>
        <w:t>8、评审专家在采购活动中应当遵守以下工作纪律：</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pPr>
        <w:spacing w:before="241" w:beforeLines="50" w:after="241" w:afterLines="50" w:line="460" w:lineRule="exact"/>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rPr>
          <w:color w:val="auto"/>
        </w:rPr>
      </w:pPr>
      <w:r>
        <w:rPr>
          <w:rFonts w:hint="eastAsia" w:ascii="宋体" w:hAnsi="宋体"/>
          <w:color w:val="auto"/>
          <w:szCs w:val="36"/>
        </w:rPr>
        <w:br w:type="page"/>
      </w:r>
      <w:bookmarkStart w:id="67" w:name="_Toc21141"/>
      <w:r>
        <w:rPr>
          <w:rFonts w:hint="eastAsia"/>
          <w:color w:val="auto"/>
        </w:rPr>
        <w:t>第六章  合同主要条款</w:t>
      </w:r>
      <w:bookmarkEnd w:id="67"/>
    </w:p>
    <w:p>
      <w:pPr>
        <w:pStyle w:val="165"/>
        <w:spacing w:before="241" w:beforeLines="50" w:after="241" w:afterLines="50" w:line="460" w:lineRule="exact"/>
        <w:ind w:firstLine="499"/>
        <w:rPr>
          <w:rFonts w:asciiTheme="minorEastAsia" w:hAnsiTheme="minorEastAsia" w:eastAsiaTheme="minorEastAsia"/>
          <w:color w:val="auto"/>
        </w:rPr>
      </w:pPr>
      <w:bookmarkStart w:id="68" w:name="_Toc350864527"/>
      <w:bookmarkEnd w:id="68"/>
      <w:bookmarkStart w:id="69" w:name="_Toc349810624"/>
      <w:bookmarkEnd w:id="69"/>
      <w:r>
        <w:rPr>
          <w:rFonts w:hint="eastAsia" w:asciiTheme="minorEastAsia" w:hAnsiTheme="minorEastAsia" w:eastAsiaTheme="minorEastAsia"/>
          <w:color w:val="auto"/>
        </w:rPr>
        <w:t>采购人（甲方）：广安市人民医院/四川大学华西医院广安医院</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总价</w:t>
            </w:r>
          </w:p>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大写：X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元整         小写：X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备注:本合同签订生效之日起</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日</w:t>
            </w:r>
            <w:r>
              <w:rPr>
                <w:rFonts w:asciiTheme="minorEastAsia" w:hAnsiTheme="minorEastAsia" w:eastAsiaTheme="minorEastAsia"/>
                <w:color w:val="auto"/>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二、合同总价</w:t>
      </w:r>
    </w:p>
    <w:p>
      <w:pPr>
        <w:pStyle w:val="14"/>
        <w:spacing w:before="241" w:beforeLines="50" w:after="241" w:afterLines="50" w:line="460" w:lineRule="exact"/>
        <w:ind w:firstLine="498"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合同总价为人民币大写：XXX元，即</w:t>
      </w:r>
      <w:r>
        <w:rPr>
          <w:rFonts w:asciiTheme="minorEastAsia" w:hAnsiTheme="minorEastAsia" w:eastAsiaTheme="minorEastAsia"/>
          <w:color w:val="auto"/>
          <w:sz w:val="24"/>
        </w:rPr>
        <w:t>RMB</w:t>
      </w:r>
      <w:r>
        <w:rPr>
          <w:rFonts w:hint="eastAsia" w:asciiTheme="minorEastAsia" w:hAnsiTheme="minorEastAsia" w:eastAsiaTheme="minorEastAsia"/>
          <w:color w:val="auto"/>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三、质量要求</w:t>
      </w:r>
      <w:r>
        <w:rPr>
          <w:rFonts w:asciiTheme="minorEastAsia" w:hAnsiTheme="minorEastAsia" w:eastAsiaTheme="minorEastAsia"/>
          <w:b/>
          <w:color w:val="auto"/>
          <w:sz w:val="24"/>
        </w:rPr>
        <w:tab/>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color w:val="auto"/>
          <w:sz w:val="28"/>
          <w:szCs w:val="28"/>
        </w:rPr>
      </w:pPr>
      <w:r>
        <w:rPr>
          <w:rFonts w:hint="eastAsia" w:asciiTheme="minorEastAsia" w:hAnsiTheme="minorEastAsia" w:eastAsiaTheme="minorEastAsia"/>
          <w:color w:val="auto"/>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四、交货及验收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color w:val="auto"/>
        </w:rPr>
      </w:pPr>
      <w:r>
        <w:rPr>
          <w:rFonts w:hint="eastAsia" w:asciiTheme="minorEastAsia" w:hAnsiTheme="minorEastAsia" w:eastAsiaTheme="minorEastAsia"/>
          <w:color w:val="auto"/>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五、付款方式</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付款方式：转账支付。</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（一）履约保证金及退还方式：合同签订之前乙方支付甲方履约保证金为合同金额的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元整。履约验收合格后10个工作日甲方退还乙方履约保证金为合同金额的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（二）支付办法：经验收合格后，采购人收到成交人递交的相关票据凭证资料后30日内支付合同总价100％的款项。中标人须向采购人出具合法有效完整的增值税发票及凭证资料进行支付结算。</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501"/>
        <w:rPr>
          <w:rFonts w:asciiTheme="minorEastAsia" w:hAnsiTheme="minorEastAsia" w:eastAsiaTheme="minorEastAsia"/>
          <w:b/>
          <w:color w:val="auto"/>
        </w:rPr>
      </w:pPr>
      <w:r>
        <w:rPr>
          <w:rFonts w:hint="eastAsia" w:asciiTheme="minorEastAsia" w:hAnsiTheme="minorEastAsia" w:eastAsiaTheme="minorEastAsia"/>
          <w:b/>
          <w:color w:val="auto"/>
        </w:rPr>
        <w:t>六、售后服务</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（一）质保期为验收合格后</w:t>
      </w:r>
      <w:r>
        <w:rPr>
          <w:rFonts w:hint="eastAsia" w:asciiTheme="minorEastAsia" w:hAnsiTheme="minorEastAsia" w:eastAsiaTheme="minorEastAsia"/>
          <w:color w:val="auto"/>
          <w:szCs w:val="21"/>
        </w:rPr>
        <w:t>XX</w:t>
      </w:r>
      <w:r>
        <w:rPr>
          <w:rFonts w:hint="eastAsia" w:asciiTheme="minorEastAsia" w:hAnsiTheme="minorEastAsia" w:eastAsiaTheme="minorEastAsia"/>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3、合同期内，乙方不得泄露在为甲方服务期间获悉的甲方技术信息及涉及甲方技术机密的资料。</w:t>
      </w:r>
    </w:p>
    <w:p>
      <w:pPr>
        <w:pStyle w:val="2"/>
      </w:pPr>
    </w:p>
    <w:p>
      <w:pPr>
        <w:spacing w:before="241" w:beforeLines="50" w:after="241" w:afterLines="50" w:line="460" w:lineRule="exact"/>
        <w:ind w:firstLine="494" w:firstLineChars="199"/>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八、违约责任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九、争议解决办法</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.合同履行期间</w:t>
      </w:r>
      <w:r>
        <w:rPr>
          <w:rFonts w:asciiTheme="minorEastAsia" w:hAnsiTheme="minorEastAsia" w:eastAsiaTheme="minorEastAsia"/>
          <w:color w:val="auto"/>
        </w:rPr>
        <w:t>,</w:t>
      </w:r>
      <w:r>
        <w:rPr>
          <w:rFonts w:hint="eastAsia" w:asciiTheme="minorEastAsia" w:hAnsiTheme="minorEastAsia" w:eastAsiaTheme="minorEastAsia"/>
          <w:color w:val="auto"/>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十、其他</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.本合同双方应加盖骑缝章。</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十一、附件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附件1：单台设备配置清单</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附件2：医疗设备入库、安装验收告知书</w:t>
      </w:r>
    </w:p>
    <w:p>
      <w:pPr>
        <w:pStyle w:val="165"/>
        <w:spacing w:before="241" w:beforeLines="50" w:after="241" w:afterLines="50" w:line="460" w:lineRule="exact"/>
        <w:ind w:firstLine="49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eastAsia="zh-CN"/>
        </w:rPr>
        <w:t>附件</w:t>
      </w:r>
      <w:r>
        <w:rPr>
          <w:rFonts w:hint="eastAsia" w:asciiTheme="minorEastAsia" w:hAnsiTheme="minorEastAsia" w:eastAsiaTheme="minorEastAsia"/>
          <w:color w:val="auto"/>
          <w:lang w:val="en-US" w:eastAsia="zh-CN"/>
        </w:rPr>
        <w:t>3：成交通知书</w:t>
      </w:r>
    </w:p>
    <w:p>
      <w:pPr>
        <w:pStyle w:val="165"/>
        <w:spacing w:before="241" w:beforeLines="50" w:after="241" w:afterLines="50" w:line="460" w:lineRule="exact"/>
        <w:ind w:firstLine="49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话：0826-2222448</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bl>
    <w:p>
      <w:pPr>
        <w:spacing w:before="241" w:beforeLines="50" w:after="241" w:afterLines="50"/>
        <w:rPr>
          <w:rFonts w:cs="宋体" w:asciiTheme="minorEastAsia" w:hAnsiTheme="minorEastAsia" w:eastAsiaTheme="minorEastAsia"/>
          <w:color w:val="auto"/>
          <w:sz w:val="24"/>
        </w:rPr>
      </w:pPr>
    </w:p>
    <w:p>
      <w:pPr>
        <w:widowControl/>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pPr>
        <w:spacing w:before="241" w:beforeLines="50" w:after="241" w:afterLines="5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附件2：</w:t>
      </w:r>
    </w:p>
    <w:p>
      <w:pPr>
        <w:spacing w:before="241" w:beforeLines="50" w:after="241" w:afterLines="50"/>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医疗设备入库、安装验收告知书</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3、政府采购设备在安装验收后，向采购科申请履约验收，由采购科组织进行，履约验收完成后再至医学工程科办理设备入库。</w:t>
      </w:r>
    </w:p>
    <w:p>
      <w:pPr>
        <w:pStyle w:val="2"/>
        <w:spacing w:line="240" w:lineRule="auto"/>
        <w:ind w:firstLine="498" w:firstLineChars="200"/>
        <w:rPr>
          <w:color w:val="auto"/>
        </w:rPr>
      </w:pPr>
      <w:r>
        <w:rPr>
          <w:rFonts w:hint="eastAsia"/>
          <w:color w:val="auto"/>
        </w:rPr>
        <w:t>4、政府采购设备在履约验收合格后，若涉及退还履约保证金，请携带项目合同复印件、履约验收合格报告复印件、退还履约保证金申请原件至采购科办理相关手续。</w:t>
      </w:r>
    </w:p>
    <w:p>
      <w:pPr>
        <w:rPr>
          <w:color w:val="auto"/>
        </w:rPr>
      </w:pPr>
      <w:r>
        <w:rPr>
          <w:color w:val="auto"/>
        </w:rPr>
        <w:br w:type="page"/>
      </w:r>
    </w:p>
    <w:p>
      <w:pPr>
        <w:pStyle w:val="39"/>
        <w:rPr>
          <w:color w:val="auto"/>
        </w:rPr>
      </w:pPr>
      <w:bookmarkStart w:id="70" w:name="_Toc30899"/>
      <w:bookmarkStart w:id="71" w:name="_Toc11901"/>
      <w:r>
        <w:rPr>
          <w:rFonts w:hint="eastAsia"/>
          <w:color w:val="auto"/>
        </w:rPr>
        <w:t>第七章  广安市人民医院供应商黑名单管理办法</w:t>
      </w:r>
      <w:bookmarkEnd w:id="70"/>
      <w:bookmarkEnd w:id="71"/>
    </w:p>
    <w:p>
      <w:pPr>
        <w:jc w:val="center"/>
        <w:rPr>
          <w:b/>
          <w:bCs/>
          <w:color w:val="auto"/>
          <w:sz w:val="28"/>
          <w:szCs w:val="28"/>
        </w:rPr>
      </w:pPr>
    </w:p>
    <w:p>
      <w:pPr>
        <w:widowControl/>
        <w:jc w:val="center"/>
        <w:rPr>
          <w:b/>
          <w:bCs/>
          <w:color w:val="auto"/>
          <w:sz w:val="28"/>
          <w:szCs w:val="28"/>
        </w:rPr>
      </w:pPr>
      <w:r>
        <w:rPr>
          <w:rFonts w:hint="eastAsia"/>
          <w:b/>
          <w:bCs/>
          <w:color w:val="auto"/>
          <w:sz w:val="28"/>
          <w:szCs w:val="28"/>
        </w:rPr>
        <w:t>第一章 总则</w:t>
      </w:r>
    </w:p>
    <w:p>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pPr>
        <w:widowControl/>
        <w:jc w:val="center"/>
        <w:rPr>
          <w:b/>
          <w:bCs/>
          <w:color w:val="auto"/>
          <w:sz w:val="28"/>
          <w:szCs w:val="28"/>
        </w:rPr>
      </w:pPr>
      <w:r>
        <w:rPr>
          <w:rFonts w:hint="eastAsia"/>
          <w:b/>
          <w:bCs/>
          <w:color w:val="auto"/>
          <w:sz w:val="28"/>
          <w:szCs w:val="28"/>
        </w:rPr>
        <w:t>第二章 列入供应商黑名单依据</w:t>
      </w:r>
    </w:p>
    <w:p>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pPr>
        <w:widowControl/>
        <w:ind w:firstLine="498" w:firstLineChars="200"/>
        <w:rPr>
          <w:color w:val="auto"/>
          <w:sz w:val="24"/>
        </w:rPr>
      </w:pPr>
      <w:r>
        <w:rPr>
          <w:rFonts w:hint="eastAsia"/>
          <w:color w:val="auto"/>
          <w:sz w:val="24"/>
        </w:rPr>
        <w:t>（一）实施商业贿赂行为的。</w:t>
      </w:r>
    </w:p>
    <w:p>
      <w:pPr>
        <w:widowControl/>
        <w:ind w:firstLine="498" w:firstLineChars="200"/>
        <w:rPr>
          <w:color w:val="auto"/>
          <w:sz w:val="24"/>
        </w:rPr>
      </w:pPr>
      <w:r>
        <w:rPr>
          <w:rFonts w:hint="eastAsia"/>
          <w:color w:val="auto"/>
          <w:sz w:val="24"/>
        </w:rPr>
        <w:t>（二）威胁、恐吓医院工作人员，扰乱医院正常工作秩序的。</w:t>
      </w:r>
    </w:p>
    <w:p>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pPr>
        <w:widowControl/>
        <w:ind w:firstLine="498" w:firstLineChars="200"/>
        <w:rPr>
          <w:color w:val="auto"/>
          <w:sz w:val="24"/>
        </w:rPr>
      </w:pPr>
      <w:r>
        <w:rPr>
          <w:rFonts w:hint="eastAsia"/>
          <w:color w:val="auto"/>
          <w:sz w:val="24"/>
        </w:rPr>
        <w:t>（七）恶意拖欠或克扣员工、雇工工资或报酬引起纠纷，给医院造成不良声誉影响的。</w:t>
      </w:r>
    </w:p>
    <w:p>
      <w:pPr>
        <w:widowControl/>
        <w:ind w:firstLine="498" w:firstLineChars="200"/>
        <w:rPr>
          <w:color w:val="auto"/>
          <w:sz w:val="24"/>
        </w:rPr>
      </w:pPr>
      <w:r>
        <w:rPr>
          <w:rFonts w:hint="eastAsia"/>
          <w:color w:val="auto"/>
          <w:sz w:val="24"/>
        </w:rPr>
        <w:t>（八）其它违反国家法律法规给医院带来不良影响的。</w:t>
      </w:r>
    </w:p>
    <w:p>
      <w:pPr>
        <w:widowControl/>
        <w:jc w:val="center"/>
        <w:rPr>
          <w:b/>
          <w:bCs/>
          <w:color w:val="auto"/>
          <w:sz w:val="28"/>
          <w:szCs w:val="28"/>
        </w:rPr>
      </w:pPr>
      <w:r>
        <w:rPr>
          <w:rFonts w:hint="eastAsia"/>
          <w:b/>
          <w:bCs/>
          <w:color w:val="auto"/>
          <w:sz w:val="28"/>
          <w:szCs w:val="28"/>
        </w:rPr>
        <w:t>第三章 供应商黑名单的建立和管理</w:t>
      </w:r>
    </w:p>
    <w:p>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pPr>
        <w:widowControl/>
        <w:jc w:val="center"/>
        <w:rPr>
          <w:b/>
          <w:bCs/>
          <w:color w:val="auto"/>
          <w:sz w:val="28"/>
          <w:szCs w:val="28"/>
        </w:rPr>
      </w:pPr>
      <w:r>
        <w:rPr>
          <w:rFonts w:hint="eastAsia"/>
          <w:b/>
          <w:bCs/>
          <w:color w:val="auto"/>
          <w:sz w:val="28"/>
          <w:szCs w:val="28"/>
        </w:rPr>
        <w:t>第四章 黑名单供应商惩戒标准及措施</w:t>
      </w:r>
    </w:p>
    <w:p>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pPr>
        <w:widowControl/>
        <w:ind w:firstLine="498" w:firstLineChars="200"/>
        <w:rPr>
          <w:color w:val="auto"/>
          <w:sz w:val="24"/>
        </w:rPr>
      </w:pPr>
      <w:r>
        <w:rPr>
          <w:rFonts w:hint="eastAsia"/>
          <w:color w:val="auto"/>
          <w:sz w:val="24"/>
        </w:rPr>
        <w:t>（四）采取不正当手段诋毁、排挤其他供应商，故意以虚构事实等方式进行投诉的。</w:t>
      </w:r>
    </w:p>
    <w:p>
      <w:pPr>
        <w:widowControl/>
        <w:ind w:firstLine="498" w:firstLineChars="200"/>
        <w:rPr>
          <w:color w:val="auto"/>
          <w:sz w:val="24"/>
        </w:rPr>
      </w:pPr>
      <w:r>
        <w:rPr>
          <w:rFonts w:hint="eastAsia"/>
          <w:color w:val="auto"/>
          <w:sz w:val="24"/>
        </w:rPr>
        <w:t>（五）拒不按规定交纳保证金的。</w:t>
      </w:r>
    </w:p>
    <w:p>
      <w:pPr>
        <w:widowControl/>
        <w:ind w:firstLine="498" w:firstLineChars="200"/>
        <w:rPr>
          <w:color w:val="auto"/>
          <w:sz w:val="24"/>
        </w:rPr>
      </w:pPr>
      <w:r>
        <w:rPr>
          <w:rFonts w:hint="eastAsia"/>
          <w:color w:val="auto"/>
          <w:sz w:val="24"/>
        </w:rPr>
        <w:t>（六）弄虚作假，虚报资质业绩或以其它欺诈方式骗取中标或成交的。</w:t>
      </w:r>
    </w:p>
    <w:p>
      <w:pPr>
        <w:widowControl/>
        <w:ind w:firstLine="498" w:firstLineChars="200"/>
        <w:rPr>
          <w:color w:val="auto"/>
          <w:sz w:val="24"/>
        </w:rPr>
      </w:pPr>
      <w:r>
        <w:rPr>
          <w:rFonts w:hint="eastAsia"/>
          <w:color w:val="auto"/>
          <w:sz w:val="24"/>
        </w:rPr>
        <w:t>（七）在签订合同时提出无理的附加条件或擅自更改合同实质性内容的。</w:t>
      </w:r>
    </w:p>
    <w:p>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pPr>
        <w:widowControl/>
        <w:ind w:firstLine="498" w:firstLineChars="200"/>
        <w:rPr>
          <w:color w:val="auto"/>
          <w:sz w:val="24"/>
        </w:rPr>
      </w:pPr>
      <w:r>
        <w:rPr>
          <w:rFonts w:hint="eastAsia"/>
          <w:color w:val="auto"/>
          <w:sz w:val="24"/>
        </w:rPr>
        <w:t>（五）拒不接受医院监督的。</w:t>
      </w:r>
    </w:p>
    <w:p>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pPr>
        <w:widowControl/>
        <w:jc w:val="center"/>
        <w:rPr>
          <w:b/>
          <w:bCs/>
          <w:color w:val="auto"/>
          <w:sz w:val="28"/>
          <w:szCs w:val="28"/>
        </w:rPr>
      </w:pPr>
      <w:r>
        <w:rPr>
          <w:rFonts w:hint="eastAsia"/>
          <w:b/>
          <w:bCs/>
          <w:color w:val="auto"/>
          <w:sz w:val="28"/>
          <w:szCs w:val="28"/>
        </w:rPr>
        <w:t>第五章 附则</w:t>
      </w:r>
    </w:p>
    <w:p>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pPr>
        <w:pStyle w:val="3"/>
        <w:rPr>
          <w:color w:val="auto"/>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6"/>
      </w:rPr>
    </w:pPr>
    <w:r>
      <w:fldChar w:fldCharType="begin"/>
    </w:r>
    <w:r>
      <w:rPr>
        <w:rStyle w:val="46"/>
      </w:rPr>
      <w:instrText xml:space="preserve">PAGE  </w:instrText>
    </w:r>
    <w: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xMzc3ZTc1NTg0NmZjZmZjNjgxYzIwZWNkNjY3ZGI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52B6D-B9D1-4A0F-A722-6E4AF0A4E1E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21871</Words>
  <Characters>22859</Characters>
  <Lines>192</Lines>
  <Paragraphs>54</Paragraphs>
  <TotalTime>68</TotalTime>
  <ScaleCrop>false</ScaleCrop>
  <LinksUpToDate>false</LinksUpToDate>
  <CharactersWithSpaces>23615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2023-03-07T02:05:00Z</dcterms:created>
  <dc:creator>Legend User</dc:creator>
  <cp:lastModifiedBy>曾铃杰</cp:lastModifiedBy>
  <cp:lastPrinted>2023-03-10T03:38:57Z</cp:lastPrinted>
  <dcterms:modified xsi:type="dcterms:W3CDTF">2023-03-10T03:46:42Z</dcterms:modified>
  <dc:title>第一章</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44A52F90255E4E4AA563296C05E1431C</vt:lpwstr>
  </property>
</Properties>
</file>