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ind w:firstLine="602" w:firstLineChars="200"/>
        <w:jc w:val="center"/>
        <w:rPr>
          <w:rFonts w:hint="eastAsia" w:ascii="宋体" w:hAnsi="宋体" w:eastAsia="宋体" w:cs="宋体"/>
          <w:sz w:val="30"/>
          <w:szCs w:val="30"/>
        </w:rPr>
      </w:pPr>
      <w:bookmarkStart w:id="20" w:name="_GoBack"/>
      <w:bookmarkEnd w:id="20"/>
      <w:r>
        <w:rPr>
          <w:rFonts w:hint="eastAsia" w:ascii="宋体" w:hAnsi="宋体" w:eastAsia="宋体" w:cs="宋体"/>
          <w:b/>
          <w:bCs/>
          <w:color w:val="auto"/>
          <w:sz w:val="30"/>
          <w:szCs w:val="30"/>
          <w:lang w:eastAsia="zh-CN"/>
        </w:rPr>
        <w:t>招标项目技术、服务及其他商务要求</w:t>
      </w:r>
    </w:p>
    <w:p>
      <w:pPr>
        <w:spacing w:line="440" w:lineRule="exact"/>
        <w:ind w:firstLine="482" w:firstLineChars="200"/>
        <w:rPr>
          <w:rFonts w:hint="eastAsia" w:ascii="宋体" w:hAnsi="宋体"/>
          <w:b/>
          <w:color w:val="auto"/>
          <w:sz w:val="24"/>
        </w:rPr>
      </w:pPr>
    </w:p>
    <w:p>
      <w:pPr>
        <w:pageBreakBefore w:val="0"/>
        <w:widowControl/>
        <w:kinsoku/>
        <w:wordWrap/>
        <w:overflowPunct/>
        <w:topLinePunct w:val="0"/>
        <w:bidi w:val="0"/>
        <w:spacing w:line="240" w:lineRule="auto"/>
        <w:ind w:firstLine="722" w:firstLineChars="257"/>
        <w:jc w:val="left"/>
        <w:rPr>
          <w:rFonts w:hint="eastAsia" w:ascii="宋体" w:hAnsi="宋体" w:eastAsia="宋体" w:cs="宋体"/>
          <w:b/>
          <w:bCs/>
          <w:kern w:val="0"/>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、投标费用</w:t>
      </w:r>
      <w:r>
        <w:rPr>
          <w:rFonts w:hint="eastAsia" w:ascii="宋体" w:hAnsi="宋体" w:eastAsia="宋体" w:cs="宋体"/>
          <w:b/>
          <w:bCs/>
          <w:kern w:val="0"/>
          <w:sz w:val="28"/>
          <w:szCs w:val="28"/>
        </w:rPr>
        <w:t xml:space="preserve"> </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 xml:space="preserve"> ★</w:t>
      </w:r>
      <w:r>
        <w:rPr>
          <w:rFonts w:hint="eastAsia" w:ascii="宋体" w:hAnsi="宋体" w:eastAsia="宋体" w:cs="宋体"/>
          <w:sz w:val="28"/>
          <w:szCs w:val="28"/>
        </w:rPr>
        <w:t>（一）本项目为交钥匙工程</w:t>
      </w:r>
      <w:r>
        <w:rPr>
          <w:rFonts w:hint="eastAsia" w:ascii="宋体" w:hAnsi="宋体" w:eastAsia="宋体" w:cs="宋体"/>
          <w:sz w:val="28"/>
          <w:szCs w:val="28"/>
          <w:lang w:eastAsia="zh-CN"/>
        </w:rPr>
        <w:t>，</w:t>
      </w:r>
      <w:r>
        <w:rPr>
          <w:rFonts w:hint="eastAsia" w:ascii="宋体" w:hAnsi="宋体" w:eastAsia="宋体" w:cs="宋体"/>
          <w:sz w:val="28"/>
          <w:szCs w:val="28"/>
        </w:rPr>
        <w:t>包括此项目产生的一切费用，最高限价为人民币</w:t>
      </w:r>
      <w:r>
        <w:rPr>
          <w:rFonts w:hint="eastAsia" w:ascii="宋体" w:hAnsi="宋体" w:cs="宋体"/>
          <w:color w:val="auto"/>
          <w:sz w:val="28"/>
          <w:szCs w:val="28"/>
          <w:lang w:val="en-US" w:eastAsia="zh-CN"/>
        </w:rPr>
        <w:t>15.87</w:t>
      </w:r>
      <w:r>
        <w:rPr>
          <w:rFonts w:hint="eastAsia" w:ascii="宋体" w:hAnsi="宋体" w:eastAsia="宋体" w:cs="宋体"/>
          <w:color w:val="auto"/>
          <w:sz w:val="28"/>
          <w:szCs w:val="28"/>
          <w:u w:val="none"/>
          <w:lang w:val="en-US" w:eastAsia="zh-CN"/>
        </w:rPr>
        <w:t>万元</w:t>
      </w:r>
      <w:r>
        <w:rPr>
          <w:rFonts w:hint="eastAsia" w:ascii="宋体" w:hAnsi="宋体" w:eastAsia="宋体" w:cs="宋体"/>
          <w:sz w:val="28"/>
          <w:szCs w:val="28"/>
        </w:rPr>
        <w:t>，投标人</w:t>
      </w:r>
      <w:r>
        <w:rPr>
          <w:rFonts w:hint="eastAsia" w:ascii="宋体" w:hAnsi="宋体" w:eastAsia="宋体" w:cs="宋体"/>
          <w:sz w:val="28"/>
          <w:szCs w:val="28"/>
          <w:lang w:val="en-US" w:eastAsia="zh-CN"/>
        </w:rPr>
        <w:t>需报单价和对应的总价，</w:t>
      </w:r>
      <w:r>
        <w:rPr>
          <w:rFonts w:hint="eastAsia" w:ascii="宋体" w:hAnsi="宋体" w:eastAsia="宋体" w:cs="宋体"/>
          <w:sz w:val="28"/>
          <w:szCs w:val="28"/>
        </w:rPr>
        <w:t>投标报价高于最高限价的则其投标文件将按无效投标文件处理。</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（二）投标人应先到现场踏勘，以充分了解项目实施位置、情况、及任何其他足以影响报价的情况，任何因忽视或误解现场情况而导致的索赔申请将被拒绝。</w:t>
      </w:r>
    </w:p>
    <w:p>
      <w:pPr>
        <w:pageBreakBefore w:val="0"/>
        <w:numPr>
          <w:ilvl w:val="0"/>
          <w:numId w:val="0"/>
        </w:numPr>
        <w:kinsoku/>
        <w:wordWrap/>
        <w:overflowPunct/>
        <w:autoSpaceDE/>
        <w:autoSpaceDN/>
        <w:bidi w:val="0"/>
        <w:spacing w:line="24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kern w:val="0"/>
          <w:sz w:val="28"/>
          <w:szCs w:val="28"/>
          <w:lang w:eastAsia="zh-CN"/>
        </w:rPr>
        <w:t>★</w:t>
      </w:r>
      <w:r>
        <w:rPr>
          <w:rFonts w:hint="eastAsia" w:ascii="宋体" w:hAnsi="宋体" w:eastAsia="宋体" w:cs="宋体"/>
          <w:sz w:val="28"/>
          <w:szCs w:val="28"/>
          <w:lang w:val="en-US" w:eastAsia="zh-CN"/>
        </w:rPr>
        <w:t>二、本项目工作范围、内容及标准</w:t>
      </w:r>
    </w:p>
    <w:p>
      <w:pPr>
        <w:numPr>
          <w:ilvl w:val="0"/>
          <w:numId w:val="0"/>
        </w:numPr>
        <w:ind w:left="210" w:leftChars="0" w:firstLine="281" w:firstLineChars="100"/>
        <w:rPr>
          <w:rFonts w:hint="eastAsia" w:ascii="宋体" w:hAnsi="宋体" w:eastAsia="宋体" w:cs="宋体"/>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改造技术服务要求</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施工方案（地点：位于感染科屋顶，共3层楼）</w:t>
      </w:r>
    </w:p>
    <w:p>
      <w:pPr>
        <w:pageBreakBefore w:val="0"/>
        <w:kinsoku/>
        <w:wordWrap/>
        <w:overflowPunct/>
        <w:topLinePunct w:val="0"/>
        <w:bidi w:val="0"/>
        <w:spacing w:line="240" w:lineRule="auto"/>
        <w:ind w:firstLine="560" w:firstLineChars="200"/>
        <w:rPr>
          <w:rFonts w:hint="eastAsia" w:ascii="宋体" w:hAnsi="宋体" w:eastAsia="宋体" w:cs="宋体"/>
          <w:color w:val="FF0000"/>
          <w:sz w:val="28"/>
          <w:szCs w:val="28"/>
          <w:lang w:eastAsia="zh-CN"/>
        </w:rPr>
      </w:pPr>
      <w:r>
        <w:rPr>
          <w:rFonts w:hint="eastAsia" w:ascii="宋体" w:hAnsi="宋体" w:eastAsia="宋体" w:cs="宋体"/>
          <w:sz w:val="28"/>
          <w:szCs w:val="28"/>
        </w:rPr>
        <w:t>新建部分：S13-500kVA油浸式变压器1台，HXGN-12型高压开关</w:t>
      </w:r>
      <w:r>
        <w:rPr>
          <w:rFonts w:hint="eastAsia" w:ascii="宋体" w:hAnsi="宋体" w:eastAsia="宋体" w:cs="宋体"/>
          <w:color w:val="auto"/>
          <w:sz w:val="28"/>
          <w:szCs w:val="28"/>
        </w:rPr>
        <w:t>柜1台，低压双电源切换开关1台；变压器品牌推荐使用重庆望江</w:t>
      </w:r>
      <w:r>
        <w:rPr>
          <w:rFonts w:hint="eastAsia" w:ascii="宋体" w:hAnsi="宋体" w:cs="宋体"/>
          <w:color w:val="auto"/>
          <w:sz w:val="28"/>
          <w:szCs w:val="28"/>
          <w:lang w:eastAsia="zh-CN"/>
        </w:rPr>
        <w:t>、施耐德、特变电工、西电</w:t>
      </w:r>
      <w:r>
        <w:rPr>
          <w:rFonts w:hint="eastAsia" w:ascii="宋体" w:hAnsi="宋体" w:eastAsia="宋体" w:cs="宋体"/>
          <w:color w:val="auto"/>
          <w:sz w:val="28"/>
          <w:szCs w:val="28"/>
          <w:lang w:eastAsia="zh-CN"/>
        </w:rPr>
        <w:t>。</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拆除部分：S9-500kVA油浸式变压器1台，HXGN-12型高压开关柜1台，低压双电源切换开关1台。拆除后的物品放到医院指定位置（地面），由医院自行处置。施工内容包含安装电缆终端、</w:t>
      </w:r>
      <w:r>
        <w:rPr>
          <w:rFonts w:hint="eastAsia" w:ascii="宋体" w:hAnsi="宋体" w:cs="宋体"/>
          <w:sz w:val="28"/>
          <w:szCs w:val="28"/>
          <w:lang w:eastAsia="zh-CN"/>
        </w:rPr>
        <w:t>变压器与电缆及接头处加固、</w:t>
      </w:r>
      <w:r>
        <w:rPr>
          <w:rFonts w:hint="eastAsia" w:ascii="宋体" w:hAnsi="宋体" w:eastAsia="宋体" w:cs="宋体"/>
          <w:sz w:val="28"/>
          <w:szCs w:val="28"/>
        </w:rPr>
        <w:t>吊车等机具、试验设备等。</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施工方案详见“广安市人民医院感染科配电设施改造工程施工图设计”。如有施工时有变动需与医院管理科室提前沟通并提供纸质申请报告，医院同意后方可变更。</w:t>
      </w:r>
    </w:p>
    <w:p>
      <w:pPr>
        <w:pageBreakBefore w:val="0"/>
        <w:kinsoku/>
        <w:wordWrap/>
        <w:overflowPunct/>
        <w:autoSpaceDE/>
        <w:autoSpaceDN/>
        <w:bidi w:val="0"/>
        <w:spacing w:line="240" w:lineRule="auto"/>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部分设备明细（</w:t>
      </w:r>
      <w:r>
        <w:rPr>
          <w:rFonts w:hint="eastAsia" w:ascii="宋体" w:hAnsi="宋体" w:eastAsia="宋体" w:cs="宋体"/>
          <w:b w:val="0"/>
          <w:bCs w:val="0"/>
          <w:color w:val="auto"/>
          <w:sz w:val="28"/>
          <w:szCs w:val="28"/>
          <w:lang w:val="en-US" w:eastAsia="zh-CN"/>
        </w:rPr>
        <w:t>包括但不限于</w:t>
      </w:r>
      <w:r>
        <w:rPr>
          <w:rFonts w:hint="eastAsia" w:ascii="宋体" w:hAnsi="宋体" w:eastAsia="宋体" w:cs="宋体"/>
          <w:b w:val="0"/>
          <w:bCs w:val="0"/>
          <w:color w:val="auto"/>
          <w:sz w:val="28"/>
          <w:szCs w:val="28"/>
          <w:lang w:eastAsia="zh-CN"/>
        </w:rPr>
        <w:t>）</w:t>
      </w:r>
    </w:p>
    <w:tbl>
      <w:tblPr>
        <w:tblStyle w:val="14"/>
        <w:tblW w:w="6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859"/>
        <w:gridCol w:w="1485"/>
        <w:gridCol w:w="124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6" w:type="dxa"/>
            <w:noWrap w:val="0"/>
            <w:vAlign w:val="center"/>
          </w:tcPr>
          <w:p>
            <w:pPr>
              <w:pStyle w:val="19"/>
              <w:ind w:firstLine="0" w:firstLineChars="0"/>
              <w:jc w:val="center"/>
            </w:pPr>
            <w:r>
              <w:t>序号</w:t>
            </w:r>
          </w:p>
        </w:tc>
        <w:tc>
          <w:tcPr>
            <w:tcW w:w="1859" w:type="dxa"/>
            <w:noWrap w:val="0"/>
            <w:vAlign w:val="center"/>
          </w:tcPr>
          <w:p>
            <w:pPr>
              <w:pStyle w:val="19"/>
              <w:ind w:firstLine="0" w:firstLineChars="0"/>
              <w:jc w:val="center"/>
            </w:pPr>
            <w:r>
              <w:t>名称</w:t>
            </w:r>
          </w:p>
        </w:tc>
        <w:tc>
          <w:tcPr>
            <w:tcW w:w="1485" w:type="dxa"/>
            <w:noWrap w:val="0"/>
            <w:vAlign w:val="center"/>
          </w:tcPr>
          <w:p>
            <w:pPr>
              <w:pStyle w:val="19"/>
              <w:ind w:firstLine="0" w:firstLineChars="0"/>
              <w:jc w:val="center"/>
            </w:pPr>
            <w:r>
              <w:t>规格</w:t>
            </w:r>
          </w:p>
        </w:tc>
        <w:tc>
          <w:tcPr>
            <w:tcW w:w="1249" w:type="dxa"/>
            <w:noWrap w:val="0"/>
            <w:vAlign w:val="center"/>
          </w:tcPr>
          <w:p>
            <w:pPr>
              <w:pStyle w:val="19"/>
              <w:ind w:firstLine="0" w:firstLineChars="0"/>
              <w:jc w:val="center"/>
            </w:pPr>
            <w:r>
              <w:t>单位</w:t>
            </w:r>
          </w:p>
        </w:tc>
        <w:tc>
          <w:tcPr>
            <w:tcW w:w="1299" w:type="dxa"/>
            <w:noWrap w:val="0"/>
            <w:vAlign w:val="center"/>
          </w:tcPr>
          <w:p>
            <w:pPr>
              <w:pStyle w:val="19"/>
              <w:ind w:firstLine="0" w:firstLineChars="0"/>
              <w:jc w:val="cente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66" w:type="dxa"/>
            <w:noWrap w:val="0"/>
            <w:vAlign w:val="center"/>
          </w:tcPr>
          <w:p>
            <w:pPr>
              <w:pStyle w:val="19"/>
              <w:ind w:firstLine="0" w:firstLineChars="0"/>
              <w:jc w:val="center"/>
            </w:pPr>
            <w:r>
              <w:rPr>
                <w:rFonts w:hint="eastAsia"/>
              </w:rPr>
              <w:t>1</w:t>
            </w:r>
          </w:p>
        </w:tc>
        <w:tc>
          <w:tcPr>
            <w:tcW w:w="1859" w:type="dxa"/>
            <w:noWrap w:val="0"/>
            <w:vAlign w:val="center"/>
          </w:tcPr>
          <w:p>
            <w:pPr>
              <w:pStyle w:val="19"/>
              <w:ind w:firstLine="0" w:firstLineChars="0"/>
              <w:jc w:val="center"/>
            </w:pPr>
            <w:r>
              <w:rPr>
                <w:rFonts w:hint="default"/>
                <w:lang w:val="en-US" w:eastAsia="zh-CN"/>
              </w:rPr>
              <w:t>油浸式</w:t>
            </w:r>
            <w:r>
              <w:t>变压器</w:t>
            </w:r>
          </w:p>
        </w:tc>
        <w:tc>
          <w:tcPr>
            <w:tcW w:w="1485" w:type="dxa"/>
            <w:noWrap w:val="0"/>
            <w:vAlign w:val="center"/>
          </w:tcPr>
          <w:p>
            <w:pPr>
              <w:pStyle w:val="19"/>
              <w:ind w:firstLine="0" w:firstLineChars="0"/>
              <w:jc w:val="center"/>
            </w:pPr>
            <w:r>
              <w:rPr>
                <w:rFonts w:hint="default"/>
                <w:lang w:val="en-US" w:eastAsia="zh-CN"/>
              </w:rPr>
              <w:t>S13-500kVA</w:t>
            </w:r>
          </w:p>
        </w:tc>
        <w:tc>
          <w:tcPr>
            <w:tcW w:w="1249" w:type="dxa"/>
            <w:noWrap w:val="0"/>
            <w:vAlign w:val="center"/>
          </w:tcPr>
          <w:p>
            <w:pPr>
              <w:pStyle w:val="19"/>
              <w:wordWrap w:val="0"/>
              <w:ind w:right="420" w:firstLine="0" w:firstLineChars="0"/>
              <w:jc w:val="center"/>
            </w:pPr>
            <w:r>
              <w:t>台</w:t>
            </w:r>
          </w:p>
        </w:tc>
        <w:tc>
          <w:tcPr>
            <w:tcW w:w="1299" w:type="dxa"/>
            <w:noWrap w:val="0"/>
            <w:vAlign w:val="center"/>
          </w:tcPr>
          <w:p>
            <w:pPr>
              <w:pStyle w:val="19"/>
              <w:wordWrap w:val="0"/>
              <w:ind w:right="420" w:firstLine="0" w:firstLineChars="0"/>
              <w:jc w:val="center"/>
            </w:pPr>
            <w:r>
              <w:rPr>
                <w:rFonts w:hint="eastAsia"/>
                <w:lang w:val="en-US" w:eastAsia="zh-CN"/>
              </w:rPr>
              <w:t xml:space="preserve">  </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6" w:type="dxa"/>
            <w:noWrap w:val="0"/>
            <w:vAlign w:val="center"/>
          </w:tcPr>
          <w:p>
            <w:pPr>
              <w:pStyle w:val="19"/>
              <w:ind w:firstLine="0" w:firstLineChars="0"/>
              <w:jc w:val="center"/>
            </w:pPr>
            <w:r>
              <w:rPr>
                <w:rFonts w:hint="eastAsia"/>
              </w:rPr>
              <w:t>2</w:t>
            </w:r>
          </w:p>
        </w:tc>
        <w:tc>
          <w:tcPr>
            <w:tcW w:w="1859" w:type="dxa"/>
            <w:noWrap w:val="0"/>
            <w:vAlign w:val="center"/>
          </w:tcPr>
          <w:p>
            <w:pPr>
              <w:pStyle w:val="19"/>
              <w:ind w:firstLine="0" w:firstLineChars="0"/>
              <w:jc w:val="center"/>
              <w:rPr>
                <w:rFonts w:hint="eastAsia" w:eastAsia="宋体"/>
                <w:lang w:eastAsia="zh-CN"/>
              </w:rPr>
            </w:pPr>
            <w:r>
              <w:rPr>
                <w:rFonts w:hint="eastAsia"/>
                <w:lang w:eastAsia="zh-CN"/>
              </w:rPr>
              <w:t>高压开关柜</w:t>
            </w:r>
          </w:p>
        </w:tc>
        <w:tc>
          <w:tcPr>
            <w:tcW w:w="1485" w:type="dxa"/>
            <w:noWrap w:val="0"/>
            <w:vAlign w:val="center"/>
          </w:tcPr>
          <w:p>
            <w:pPr>
              <w:pStyle w:val="19"/>
              <w:ind w:firstLine="0" w:firstLineChars="0"/>
              <w:jc w:val="center"/>
              <w:rPr>
                <w:rFonts w:hint="default" w:eastAsia="宋体"/>
                <w:lang w:val="en-US" w:eastAsia="zh-CN"/>
              </w:rPr>
            </w:pPr>
            <w:r>
              <w:rPr>
                <w:rFonts w:hint="eastAsia"/>
                <w:lang w:val="en-US" w:eastAsia="zh-CN"/>
              </w:rPr>
              <w:t>HXGN-12</w:t>
            </w:r>
          </w:p>
        </w:tc>
        <w:tc>
          <w:tcPr>
            <w:tcW w:w="1249" w:type="dxa"/>
            <w:noWrap w:val="0"/>
            <w:vAlign w:val="center"/>
          </w:tcPr>
          <w:p>
            <w:pPr>
              <w:pStyle w:val="19"/>
              <w:wordWrap w:val="0"/>
              <w:ind w:right="420" w:firstLine="0" w:firstLineChars="0"/>
              <w:jc w:val="center"/>
            </w:pPr>
            <w:r>
              <w:t>台</w:t>
            </w:r>
          </w:p>
        </w:tc>
        <w:tc>
          <w:tcPr>
            <w:tcW w:w="1299" w:type="dxa"/>
            <w:noWrap w:val="0"/>
            <w:vAlign w:val="center"/>
          </w:tcPr>
          <w:p>
            <w:pPr>
              <w:pStyle w:val="19"/>
              <w:wordWrap w:val="0"/>
              <w:ind w:right="420" w:firstLine="0" w:firstLineChars="0"/>
              <w:jc w:val="center"/>
            </w:pPr>
            <w:r>
              <w:rPr>
                <w:rFonts w:hint="eastAsia"/>
                <w:lang w:val="en-US" w:eastAsia="zh-CN"/>
              </w:rPr>
              <w:t xml:space="preserve">  </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6" w:type="dxa"/>
            <w:noWrap w:val="0"/>
            <w:vAlign w:val="center"/>
          </w:tcPr>
          <w:p>
            <w:pPr>
              <w:pStyle w:val="19"/>
              <w:ind w:firstLine="0" w:firstLineChars="0"/>
              <w:jc w:val="center"/>
            </w:pPr>
            <w:r>
              <w:rPr>
                <w:rFonts w:hint="eastAsia"/>
              </w:rPr>
              <w:t>3</w:t>
            </w:r>
          </w:p>
        </w:tc>
        <w:tc>
          <w:tcPr>
            <w:tcW w:w="1859" w:type="dxa"/>
            <w:noWrap w:val="0"/>
            <w:vAlign w:val="center"/>
          </w:tcPr>
          <w:p>
            <w:pPr>
              <w:pStyle w:val="19"/>
              <w:ind w:firstLine="0" w:firstLineChars="0"/>
              <w:jc w:val="center"/>
            </w:pPr>
            <w:r>
              <w:t>机具及材料</w:t>
            </w:r>
          </w:p>
        </w:tc>
        <w:tc>
          <w:tcPr>
            <w:tcW w:w="1485" w:type="dxa"/>
            <w:noWrap w:val="0"/>
            <w:vAlign w:val="center"/>
          </w:tcPr>
          <w:p>
            <w:pPr>
              <w:pStyle w:val="19"/>
              <w:ind w:firstLine="0" w:firstLineChars="0"/>
              <w:jc w:val="center"/>
            </w:pPr>
          </w:p>
        </w:tc>
        <w:tc>
          <w:tcPr>
            <w:tcW w:w="1249" w:type="dxa"/>
            <w:noWrap w:val="0"/>
            <w:vAlign w:val="center"/>
          </w:tcPr>
          <w:p>
            <w:pPr>
              <w:pStyle w:val="19"/>
              <w:wordWrap w:val="0"/>
              <w:ind w:right="420" w:firstLine="0" w:firstLineChars="0"/>
              <w:jc w:val="center"/>
            </w:pPr>
          </w:p>
        </w:tc>
        <w:tc>
          <w:tcPr>
            <w:tcW w:w="1299" w:type="dxa"/>
            <w:noWrap w:val="0"/>
            <w:vAlign w:val="center"/>
          </w:tcPr>
          <w:p>
            <w:pPr>
              <w:pStyle w:val="19"/>
              <w:wordWrap w:val="0"/>
              <w:ind w:right="420" w:firstLine="0" w:firstLineChars="0"/>
              <w:jc w:val="center"/>
              <w:rPr>
                <w:rFonts w:hint="eastAsia" w:eastAsia="宋体"/>
                <w:lang w:val="en-US" w:eastAsia="zh-CN"/>
              </w:rPr>
            </w:pPr>
            <w:r>
              <w:rPr>
                <w:rFonts w:hint="eastAsia"/>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6" w:type="dxa"/>
            <w:noWrap w:val="0"/>
            <w:vAlign w:val="center"/>
          </w:tcPr>
          <w:p>
            <w:pPr>
              <w:pStyle w:val="19"/>
              <w:ind w:firstLine="0" w:firstLineChars="0"/>
              <w:jc w:val="center"/>
            </w:pPr>
            <w:r>
              <w:rPr>
                <w:rFonts w:hint="eastAsia"/>
              </w:rPr>
              <w:t>4</w:t>
            </w:r>
          </w:p>
        </w:tc>
        <w:tc>
          <w:tcPr>
            <w:tcW w:w="1859" w:type="dxa"/>
            <w:noWrap w:val="0"/>
            <w:vAlign w:val="center"/>
          </w:tcPr>
          <w:p>
            <w:pPr>
              <w:pStyle w:val="19"/>
              <w:ind w:firstLine="0" w:firstLineChars="0"/>
              <w:jc w:val="center"/>
            </w:pPr>
            <w:r>
              <w:t>试验费用</w:t>
            </w:r>
          </w:p>
        </w:tc>
        <w:tc>
          <w:tcPr>
            <w:tcW w:w="1485" w:type="dxa"/>
            <w:noWrap w:val="0"/>
            <w:vAlign w:val="center"/>
          </w:tcPr>
          <w:p>
            <w:pPr>
              <w:pStyle w:val="19"/>
              <w:ind w:firstLine="0" w:firstLineChars="0"/>
              <w:jc w:val="center"/>
            </w:pPr>
          </w:p>
        </w:tc>
        <w:tc>
          <w:tcPr>
            <w:tcW w:w="1249" w:type="dxa"/>
            <w:noWrap w:val="0"/>
            <w:vAlign w:val="center"/>
          </w:tcPr>
          <w:p>
            <w:pPr>
              <w:pStyle w:val="19"/>
              <w:ind w:firstLine="0" w:firstLineChars="0"/>
              <w:jc w:val="center"/>
            </w:pPr>
          </w:p>
        </w:tc>
        <w:tc>
          <w:tcPr>
            <w:tcW w:w="1299" w:type="dxa"/>
            <w:noWrap w:val="0"/>
            <w:vAlign w:val="center"/>
          </w:tcPr>
          <w:p>
            <w:pPr>
              <w:pStyle w:val="19"/>
              <w:ind w:left="0" w:leftChars="0" w:firstLine="420" w:firstLineChars="200"/>
              <w:jc w:val="both"/>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66" w:type="dxa"/>
            <w:noWrap w:val="0"/>
            <w:vAlign w:val="center"/>
          </w:tcPr>
          <w:p>
            <w:pPr>
              <w:pStyle w:val="19"/>
              <w:ind w:firstLine="0" w:firstLineChars="0"/>
              <w:jc w:val="center"/>
              <w:rPr>
                <w:rFonts w:hint="eastAsia" w:eastAsia="宋体"/>
                <w:lang w:val="en-US" w:eastAsia="zh-CN"/>
              </w:rPr>
            </w:pPr>
            <w:r>
              <w:rPr>
                <w:rFonts w:hint="eastAsia"/>
                <w:lang w:val="en-US" w:eastAsia="zh-CN"/>
              </w:rPr>
              <w:t>5</w:t>
            </w:r>
          </w:p>
        </w:tc>
        <w:tc>
          <w:tcPr>
            <w:tcW w:w="1859" w:type="dxa"/>
            <w:noWrap w:val="0"/>
            <w:vAlign w:val="center"/>
          </w:tcPr>
          <w:p>
            <w:pPr>
              <w:jc w:val="center"/>
              <w:rPr>
                <w:rFonts w:hint="default" w:ascii="Calibri" w:hAnsi="Calibri" w:eastAsia="宋体" w:cs="Times New Roman"/>
                <w:kern w:val="2"/>
                <w:sz w:val="21"/>
                <w:szCs w:val="22"/>
                <w:lang w:val="en-US" w:eastAsia="zh-CN" w:bidi="ar-SA"/>
              </w:rPr>
            </w:pPr>
            <w:r>
              <w:rPr>
                <w:rFonts w:hint="default"/>
                <w:lang w:val="en-US" w:eastAsia="zh-CN"/>
              </w:rPr>
              <w:t>低压双电源</w:t>
            </w:r>
            <w:r>
              <w:rPr>
                <w:rFonts w:hint="eastAsia"/>
                <w:lang w:val="en-US" w:eastAsia="zh-CN"/>
              </w:rPr>
              <w:t>自动</w:t>
            </w:r>
            <w:r>
              <w:rPr>
                <w:rFonts w:hint="default"/>
                <w:lang w:val="en-US" w:eastAsia="zh-CN"/>
              </w:rPr>
              <w:t>切换开关</w:t>
            </w:r>
            <w:r>
              <w:rPr>
                <w:rFonts w:hint="eastAsia"/>
                <w:lang w:val="en-US" w:eastAsia="zh-CN"/>
              </w:rPr>
              <w:t>(含铜排制作及安装)</w:t>
            </w:r>
          </w:p>
          <w:p>
            <w:pPr>
              <w:pStyle w:val="19"/>
              <w:ind w:firstLine="0" w:firstLineChars="0"/>
              <w:jc w:val="center"/>
              <w:rPr>
                <w:rFonts w:hint="eastAsia"/>
              </w:rPr>
            </w:pPr>
          </w:p>
        </w:tc>
        <w:tc>
          <w:tcPr>
            <w:tcW w:w="1485" w:type="dxa"/>
            <w:noWrap w:val="0"/>
            <w:vAlign w:val="center"/>
          </w:tcPr>
          <w:p>
            <w:pPr>
              <w:pStyle w:val="19"/>
              <w:ind w:firstLine="0" w:firstLineChars="0"/>
              <w:jc w:val="center"/>
              <w:rPr>
                <w:rFonts w:hint="default" w:eastAsia="宋体"/>
                <w:lang w:val="en-US" w:eastAsia="zh-CN"/>
              </w:rPr>
            </w:pPr>
            <w:r>
              <w:rPr>
                <w:rFonts w:hint="eastAsia"/>
                <w:lang w:eastAsia="zh-CN"/>
              </w:rPr>
              <w:t>斯沃</w:t>
            </w:r>
            <w:r>
              <w:rPr>
                <w:rFonts w:hint="eastAsia"/>
                <w:lang w:val="en-US" w:eastAsia="zh-CN"/>
              </w:rPr>
              <w:t>1000A/4P</w:t>
            </w:r>
          </w:p>
        </w:tc>
        <w:tc>
          <w:tcPr>
            <w:tcW w:w="1249" w:type="dxa"/>
            <w:noWrap w:val="0"/>
            <w:vAlign w:val="center"/>
          </w:tcPr>
          <w:p>
            <w:pPr>
              <w:pStyle w:val="19"/>
              <w:ind w:firstLine="0" w:firstLineChars="0"/>
              <w:jc w:val="center"/>
              <w:rPr>
                <w:rFonts w:hint="eastAsia" w:eastAsia="宋体"/>
                <w:lang w:eastAsia="zh-CN"/>
              </w:rPr>
            </w:pPr>
            <w:r>
              <w:rPr>
                <w:rFonts w:hint="eastAsia"/>
                <w:lang w:eastAsia="zh-CN"/>
              </w:rPr>
              <w:t>套</w:t>
            </w:r>
          </w:p>
        </w:tc>
        <w:tc>
          <w:tcPr>
            <w:tcW w:w="1299" w:type="dxa"/>
            <w:noWrap w:val="0"/>
            <w:vAlign w:val="center"/>
          </w:tcPr>
          <w:p>
            <w:pPr>
              <w:pStyle w:val="19"/>
              <w:ind w:firstLine="0" w:firstLineChars="0"/>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6" w:type="dxa"/>
            <w:noWrap w:val="0"/>
            <w:vAlign w:val="center"/>
          </w:tcPr>
          <w:p>
            <w:pPr>
              <w:pStyle w:val="19"/>
              <w:ind w:firstLine="0" w:firstLineChars="0"/>
              <w:jc w:val="center"/>
              <w:rPr>
                <w:rFonts w:hint="eastAsia" w:eastAsia="宋体"/>
                <w:lang w:eastAsia="zh-CN"/>
              </w:rPr>
            </w:pPr>
            <w:r>
              <w:rPr>
                <w:rFonts w:hint="eastAsia"/>
                <w:lang w:val="en-US" w:eastAsia="zh-CN"/>
              </w:rPr>
              <w:t>6</w:t>
            </w:r>
          </w:p>
        </w:tc>
        <w:tc>
          <w:tcPr>
            <w:tcW w:w="1859" w:type="dxa"/>
            <w:noWrap w:val="0"/>
            <w:vAlign w:val="center"/>
          </w:tcPr>
          <w:p>
            <w:pPr>
              <w:pStyle w:val="19"/>
              <w:ind w:firstLine="0" w:firstLineChars="0"/>
              <w:jc w:val="center"/>
              <w:rPr>
                <w:rFonts w:hint="eastAsia"/>
              </w:rPr>
            </w:pPr>
            <w:r>
              <w:rPr>
                <w:rFonts w:hint="eastAsia"/>
              </w:rPr>
              <w:t>税金及利润</w:t>
            </w:r>
          </w:p>
        </w:tc>
        <w:tc>
          <w:tcPr>
            <w:tcW w:w="1485" w:type="dxa"/>
            <w:noWrap w:val="0"/>
            <w:vAlign w:val="center"/>
          </w:tcPr>
          <w:p>
            <w:pPr>
              <w:pStyle w:val="19"/>
              <w:ind w:firstLine="0" w:firstLineChars="0"/>
              <w:jc w:val="center"/>
            </w:pPr>
          </w:p>
        </w:tc>
        <w:tc>
          <w:tcPr>
            <w:tcW w:w="1249" w:type="dxa"/>
            <w:noWrap w:val="0"/>
            <w:vAlign w:val="center"/>
          </w:tcPr>
          <w:p>
            <w:pPr>
              <w:pStyle w:val="19"/>
              <w:ind w:firstLine="0" w:firstLineChars="0"/>
              <w:jc w:val="center"/>
              <w:rPr>
                <w:rFonts w:hint="eastAsia"/>
              </w:rPr>
            </w:pPr>
          </w:p>
        </w:tc>
        <w:tc>
          <w:tcPr>
            <w:tcW w:w="1299" w:type="dxa"/>
            <w:noWrap w:val="0"/>
            <w:vAlign w:val="center"/>
          </w:tcPr>
          <w:p>
            <w:pPr>
              <w:pStyle w:val="19"/>
              <w:ind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825" w:type="dxa"/>
            <w:gridSpan w:val="2"/>
            <w:noWrap w:val="0"/>
            <w:vAlign w:val="center"/>
          </w:tcPr>
          <w:p>
            <w:pPr>
              <w:pStyle w:val="19"/>
              <w:ind w:firstLine="0" w:firstLineChars="0"/>
              <w:jc w:val="center"/>
              <w:rPr>
                <w:rFonts w:hint="eastAsia"/>
                <w:b/>
                <w:bCs/>
                <w:sz w:val="24"/>
                <w:szCs w:val="24"/>
              </w:rPr>
            </w:pPr>
            <w:r>
              <w:rPr>
                <w:rFonts w:hint="eastAsia" w:ascii="宋体" w:hAnsi="宋体" w:eastAsia="宋体" w:cs="宋体"/>
                <w:b/>
                <w:bCs/>
                <w:i w:val="0"/>
                <w:iCs w:val="0"/>
                <w:color w:val="000000"/>
                <w:kern w:val="0"/>
                <w:sz w:val="24"/>
                <w:szCs w:val="24"/>
                <w:u w:val="none"/>
                <w:lang w:val="en-US" w:eastAsia="zh-CN" w:bidi="ar"/>
              </w:rPr>
              <w:t>合计报价：元</w:t>
            </w:r>
          </w:p>
        </w:tc>
        <w:tc>
          <w:tcPr>
            <w:tcW w:w="4033" w:type="dxa"/>
            <w:gridSpan w:val="3"/>
            <w:noWrap w:val="0"/>
            <w:vAlign w:val="center"/>
          </w:tcPr>
          <w:p>
            <w:pPr>
              <w:pStyle w:val="19"/>
              <w:ind w:firstLine="0" w:firstLineChars="0"/>
              <w:jc w:val="center"/>
              <w:rPr>
                <w:rFonts w:hint="eastAsia" w:ascii="宋体" w:hAnsi="宋体" w:eastAsia="宋体" w:cs="宋体"/>
                <w:b/>
                <w:bCs/>
                <w:i w:val="0"/>
                <w:iCs w:val="0"/>
                <w:color w:val="000000"/>
                <w:kern w:val="0"/>
                <w:sz w:val="24"/>
                <w:szCs w:val="24"/>
                <w:u w:val="none"/>
                <w:lang w:val="en-US" w:eastAsia="zh-CN" w:bidi="ar"/>
              </w:rPr>
            </w:pPr>
          </w:p>
        </w:tc>
      </w:tr>
    </w:tbl>
    <w:p>
      <w:pPr>
        <w:pStyle w:val="10"/>
        <w:rPr>
          <w:rFonts w:hint="eastAsia" w:ascii="宋体" w:hAnsi="宋体" w:eastAsia="宋体" w:cs="宋体"/>
          <w:sz w:val="28"/>
          <w:szCs w:val="28"/>
          <w:lang w:val="en-US" w:eastAsia="zh-CN"/>
        </w:rPr>
      </w:pPr>
    </w:p>
    <w:p>
      <w:pPr>
        <w:pageBreakBefore w:val="0"/>
        <w:kinsoku/>
        <w:wordWrap/>
        <w:overflowPunct/>
        <w:topLinePunct w:val="0"/>
        <w:bidi w:val="0"/>
        <w:spacing w:line="240" w:lineRule="auto"/>
        <w:ind w:firstLine="694" w:firstLineChars="247"/>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、商务要求</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（一）计划工期</w:t>
      </w:r>
    </w:p>
    <w:p>
      <w:pPr>
        <w:pageBreakBefore w:val="0"/>
        <w:kinsoku/>
        <w:wordWrap/>
        <w:overflowPunct/>
        <w:topLinePunct w:val="0"/>
        <w:bidi w:val="0"/>
        <w:spacing w:line="240" w:lineRule="auto"/>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本</w:t>
      </w:r>
      <w:r>
        <w:rPr>
          <w:rFonts w:hint="eastAsia" w:ascii="宋体" w:hAnsi="宋体" w:eastAsia="宋体" w:cs="宋体"/>
          <w:color w:val="auto"/>
          <w:kern w:val="0"/>
          <w:sz w:val="28"/>
          <w:szCs w:val="28"/>
          <w:lang w:val="en-US" w:eastAsia="zh-CN" w:bidi="ar"/>
        </w:rPr>
        <w:t>自采购合同签订生效之日起 1</w:t>
      </w:r>
      <w:r>
        <w:rPr>
          <w:rFonts w:hint="eastAsia" w:ascii="宋体" w:hAnsi="宋体" w:cs="宋体"/>
          <w:color w:val="auto"/>
          <w:kern w:val="0"/>
          <w:sz w:val="28"/>
          <w:szCs w:val="28"/>
          <w:lang w:val="en-US" w:eastAsia="zh-CN" w:bidi="ar"/>
        </w:rPr>
        <w:t>0</w:t>
      </w:r>
      <w:r>
        <w:rPr>
          <w:rFonts w:hint="eastAsia" w:ascii="宋体" w:hAnsi="宋体" w:eastAsia="宋体" w:cs="宋体"/>
          <w:color w:val="auto"/>
          <w:kern w:val="0"/>
          <w:sz w:val="28"/>
          <w:szCs w:val="28"/>
          <w:lang w:val="en-US" w:eastAsia="zh-CN" w:bidi="ar"/>
        </w:rPr>
        <w:t>日内完成本项目所述全部内容。</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（二）施工现场的要求</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★1、施工时不能影响医院正常工作，施工的时间主要安排以采购人调配为主。</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★2、中标方在结束当日工程时，必须将施工现场全部清理完毕，</w:t>
      </w:r>
      <w:r>
        <w:rPr>
          <w:rFonts w:hint="eastAsia" w:ascii="宋体" w:hAnsi="宋体" w:eastAsia="宋体" w:cs="宋体"/>
          <w:color w:val="auto"/>
          <w:sz w:val="28"/>
          <w:szCs w:val="28"/>
        </w:rPr>
        <w:t>施工垃圾全部运出现场，并将施工现场恢复到原状</w:t>
      </w:r>
      <w:r>
        <w:rPr>
          <w:rFonts w:hint="eastAsia" w:ascii="宋体" w:hAnsi="宋体" w:eastAsia="宋体" w:cs="宋体"/>
          <w:color w:val="auto"/>
          <w:sz w:val="28"/>
          <w:szCs w:val="28"/>
          <w:lang w:eastAsia="zh-CN"/>
        </w:rPr>
        <w:t>，所有材料</w:t>
      </w:r>
      <w:r>
        <w:rPr>
          <w:rFonts w:hint="eastAsia" w:ascii="宋体" w:hAnsi="宋体" w:eastAsia="宋体" w:cs="宋体"/>
          <w:color w:val="auto"/>
          <w:sz w:val="28"/>
          <w:szCs w:val="28"/>
          <w:lang w:val="en-US" w:eastAsia="zh-CN"/>
        </w:rPr>
        <w:t>和施工要求</w:t>
      </w:r>
      <w:r>
        <w:rPr>
          <w:rFonts w:hint="eastAsia" w:ascii="宋体" w:hAnsi="宋体" w:eastAsia="宋体" w:cs="宋体"/>
          <w:color w:val="auto"/>
          <w:kern w:val="0"/>
          <w:sz w:val="28"/>
          <w:szCs w:val="28"/>
          <w:lang w:val="en-US" w:eastAsia="zh-CN" w:bidi="ar"/>
        </w:rPr>
        <w:t>应符合国家、行业及设计图规范的标准。</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★3、中标方在施工过程中接收采购方的监督，对存在的问题及时整改。</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（三）施工人员安全及设备管理</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★1、开工前，中标方根据本工程项目施工特点建立安全技术小组，对施工人员进行安全交底和安全生产教育，增加安全生产意识，明确安全生产的重点，杜绝发生安全事故。</w:t>
      </w:r>
    </w:p>
    <w:p>
      <w:pPr>
        <w:pageBreakBefore w:val="0"/>
        <w:kinsoku/>
        <w:wordWrap/>
        <w:overflowPunct/>
        <w:topLinePunct w:val="0"/>
        <w:bidi w:val="0"/>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★2、施工前做好打围工作，杜绝</w:t>
      </w:r>
      <w:r>
        <w:rPr>
          <w:rFonts w:hint="eastAsia" w:ascii="宋体" w:hAnsi="宋体" w:eastAsia="宋体" w:cs="宋体"/>
          <w:color w:val="auto"/>
          <w:sz w:val="28"/>
          <w:szCs w:val="28"/>
          <w:lang w:val="en-US" w:eastAsia="zh-CN"/>
        </w:rPr>
        <w:t>其他人员</w:t>
      </w:r>
      <w:r>
        <w:rPr>
          <w:rFonts w:hint="eastAsia" w:ascii="宋体" w:hAnsi="宋体" w:eastAsia="宋体" w:cs="宋体"/>
          <w:color w:val="auto"/>
          <w:sz w:val="28"/>
          <w:szCs w:val="28"/>
        </w:rPr>
        <w:t>误入施工现场，所有施工人员需听从现场指挥。高处作业时，禁止上下投掷物品，防止掉物伤人。</w:t>
      </w:r>
    </w:p>
    <w:p>
      <w:pPr>
        <w:snapToGrid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★3、施工造成的各种设施设备的损失和人生安全由投标方（中标方）负责。采购人不承担任何安全责任，也不承担如发生安全事故产生的任何责任。</w:t>
      </w:r>
    </w:p>
    <w:p>
      <w:pPr>
        <w:pageBreakBefore w:val="0"/>
        <w:tabs>
          <w:tab w:val="left" w:pos="425"/>
          <w:tab w:val="left" w:pos="900"/>
        </w:tabs>
        <w:kinsoku/>
        <w:wordWrap/>
        <w:overflowPunct/>
        <w:topLinePunct w:val="0"/>
        <w:bidi w:val="0"/>
        <w:spacing w:line="24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、其它要求</w:t>
      </w:r>
    </w:p>
    <w:p>
      <w:pPr>
        <w:pageBreakBefore w:val="0"/>
        <w:tabs>
          <w:tab w:val="left" w:pos="425"/>
          <w:tab w:val="left" w:pos="900"/>
        </w:tabs>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★（一）施工时保证技术上的可行性、安全可靠性、成熟性，包括对清洗现场的环境卫生、设施设备、人生财产安全等的保护以及维修工作结束后对设施设备等破坏的恢复方案。</w:t>
      </w:r>
    </w:p>
    <w:p>
      <w:pPr>
        <w:pageBreakBefore w:val="0"/>
        <w:kinsoku/>
        <w:wordWrap/>
        <w:overflowPunct/>
        <w:topLinePunct w:val="0"/>
        <w:bidi w:val="0"/>
        <w:spacing w:line="240" w:lineRule="auto"/>
        <w:ind w:firstLine="562"/>
        <w:rPr>
          <w:rFonts w:hint="eastAsia" w:ascii="宋体" w:hAnsi="宋体" w:eastAsia="宋体" w:cs="宋体"/>
          <w:sz w:val="28"/>
          <w:szCs w:val="28"/>
        </w:rPr>
      </w:pPr>
      <w:r>
        <w:rPr>
          <w:rFonts w:hint="eastAsia" w:ascii="宋体" w:hAnsi="宋体" w:eastAsia="宋体" w:cs="宋体"/>
          <w:sz w:val="28"/>
          <w:szCs w:val="28"/>
        </w:rPr>
        <w:t>★（二）本项目改造维修服务，需提供材料产品合格证，且改造维修质保期</w:t>
      </w:r>
      <w:r>
        <w:rPr>
          <w:rFonts w:hint="eastAsia" w:ascii="宋体" w:hAnsi="宋体" w:eastAsia="宋体" w:cs="宋体"/>
          <w:color w:val="auto"/>
          <w:sz w:val="28"/>
          <w:szCs w:val="28"/>
        </w:rPr>
        <w:t>为</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sz w:val="28"/>
          <w:szCs w:val="28"/>
        </w:rPr>
        <w:t>质保期内的一切损坏及损失都由中标方负责。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中标方在施工过程中接收采购方的监督，对存在的问题及时整改</w:t>
      </w:r>
      <w:r>
        <w:rPr>
          <w:rFonts w:hint="eastAsia" w:ascii="宋体" w:hAnsi="宋体" w:eastAsia="宋体" w:cs="宋体"/>
          <w:sz w:val="28"/>
          <w:szCs w:val="28"/>
          <w:lang w:eastAsia="zh-CN"/>
        </w:rPr>
        <w:t>，否则采购方有权每次对中标公司处罚</w:t>
      </w:r>
      <w:r>
        <w:rPr>
          <w:rFonts w:hint="eastAsia" w:ascii="宋体" w:hAnsi="宋体" w:eastAsia="宋体" w:cs="宋体"/>
          <w:sz w:val="28"/>
          <w:szCs w:val="28"/>
          <w:lang w:val="en-US" w:eastAsia="zh-CN"/>
        </w:rPr>
        <w:t>100-500元，同一问题超过2次未整改到位采购方</w:t>
      </w:r>
      <w:r>
        <w:rPr>
          <w:rFonts w:hint="eastAsia" w:ascii="宋体" w:hAnsi="宋体" w:eastAsia="宋体" w:cs="宋体"/>
          <w:sz w:val="28"/>
          <w:szCs w:val="28"/>
          <w:lang w:eastAsia="zh-CN"/>
        </w:rPr>
        <w:t>有权</w:t>
      </w:r>
      <w:r>
        <w:rPr>
          <w:rFonts w:hint="eastAsia" w:ascii="宋体" w:hAnsi="宋体" w:eastAsia="宋体" w:cs="宋体"/>
          <w:b w:val="0"/>
          <w:bCs w:val="0"/>
          <w:color w:val="auto"/>
          <w:sz w:val="28"/>
          <w:szCs w:val="28"/>
          <w:lang w:val="en-US" w:eastAsia="zh-CN"/>
        </w:rPr>
        <w:t>终止合同并</w:t>
      </w:r>
      <w:r>
        <w:rPr>
          <w:rFonts w:hint="eastAsia" w:ascii="宋体" w:hAnsi="宋体" w:eastAsia="宋体" w:cs="宋体"/>
          <w:sz w:val="28"/>
          <w:szCs w:val="28"/>
        </w:rPr>
        <w:t>处罚违约金不低于</w:t>
      </w:r>
      <w:r>
        <w:rPr>
          <w:rFonts w:hint="eastAsia" w:ascii="宋体" w:hAnsi="宋体" w:eastAsia="宋体" w:cs="宋体"/>
          <w:sz w:val="28"/>
          <w:szCs w:val="28"/>
          <w:lang w:val="en-US" w:eastAsia="zh-CN"/>
        </w:rPr>
        <w:t>2</w:t>
      </w:r>
      <w:r>
        <w:rPr>
          <w:rFonts w:hint="eastAsia" w:ascii="宋体" w:hAnsi="宋体" w:eastAsia="宋体" w:cs="宋体"/>
          <w:sz w:val="28"/>
          <w:szCs w:val="28"/>
        </w:rPr>
        <w:t>万元</w:t>
      </w:r>
      <w:r>
        <w:rPr>
          <w:rFonts w:hint="eastAsia" w:ascii="宋体" w:hAnsi="宋体" w:eastAsia="宋体" w:cs="宋体"/>
          <w:sz w:val="28"/>
          <w:szCs w:val="28"/>
          <w:lang w:val="zh-CN"/>
        </w:rPr>
        <w:t>，</w:t>
      </w:r>
      <w:r>
        <w:rPr>
          <w:rFonts w:hint="eastAsia" w:ascii="宋体" w:hAnsi="宋体" w:eastAsia="宋体" w:cs="宋体"/>
          <w:sz w:val="28"/>
          <w:szCs w:val="28"/>
        </w:rPr>
        <w:t>同时由此而造成的损失和责任由</w:t>
      </w:r>
      <w:r>
        <w:rPr>
          <w:rFonts w:hint="eastAsia" w:ascii="宋体" w:hAnsi="宋体" w:eastAsia="宋体" w:cs="宋体"/>
          <w:sz w:val="28"/>
          <w:szCs w:val="28"/>
          <w:lang w:eastAsia="zh-CN"/>
        </w:rPr>
        <w:t>中标公司</w:t>
      </w:r>
      <w:r>
        <w:rPr>
          <w:rFonts w:hint="eastAsia" w:ascii="宋体" w:hAnsi="宋体" w:eastAsia="宋体" w:cs="宋体"/>
          <w:sz w:val="28"/>
          <w:szCs w:val="28"/>
        </w:rPr>
        <w:t>承担</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lang w:eastAsia="zh-CN"/>
        </w:rPr>
        <w:t>（四）</w:t>
      </w:r>
      <w:r>
        <w:rPr>
          <w:rFonts w:hint="eastAsia" w:ascii="宋体" w:hAnsi="宋体" w:eastAsia="宋体" w:cs="宋体"/>
          <w:sz w:val="28"/>
          <w:szCs w:val="28"/>
        </w:rPr>
        <w:t>本工程</w:t>
      </w:r>
      <w:r>
        <w:rPr>
          <w:rFonts w:hint="eastAsia" w:ascii="宋体" w:hAnsi="宋体" w:eastAsia="宋体" w:cs="宋体"/>
          <w:sz w:val="28"/>
          <w:szCs w:val="28"/>
          <w:lang w:eastAsia="zh-CN"/>
        </w:rPr>
        <w:t>从签订合同后算起</w:t>
      </w:r>
      <w:r>
        <w:rPr>
          <w:rFonts w:hint="eastAsia" w:ascii="宋体" w:hAnsi="宋体" w:eastAsia="宋体" w:cs="宋体"/>
          <w:sz w:val="28"/>
          <w:szCs w:val="28"/>
        </w:rPr>
        <w:t>工期为</w:t>
      </w:r>
      <w:r>
        <w:rPr>
          <w:rFonts w:hint="eastAsia" w:ascii="宋体" w:hAnsi="宋体" w:cs="宋体"/>
          <w:sz w:val="28"/>
          <w:szCs w:val="28"/>
          <w:lang w:val="en-US" w:eastAsia="zh-CN"/>
        </w:rPr>
        <w:t>10</w:t>
      </w:r>
      <w:r>
        <w:rPr>
          <w:rFonts w:hint="eastAsia" w:ascii="宋体" w:hAnsi="宋体" w:eastAsia="宋体" w:cs="宋体"/>
          <w:sz w:val="28"/>
          <w:szCs w:val="28"/>
        </w:rPr>
        <w:t>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但由于医院施工特殊情况，医院有权变更施工时间，投标方必须全力配合</w:t>
      </w:r>
      <w:r>
        <w:rPr>
          <w:rFonts w:hint="eastAsia" w:ascii="宋体" w:hAnsi="宋体" w:eastAsia="宋体" w:cs="宋体"/>
          <w:sz w:val="28"/>
          <w:szCs w:val="28"/>
          <w:lang w:eastAsia="zh-CN"/>
        </w:rPr>
        <w:t>）</w:t>
      </w:r>
      <w:r>
        <w:rPr>
          <w:rFonts w:hint="eastAsia" w:ascii="宋体" w:hAnsi="宋体" w:eastAsia="宋体" w:cs="宋体"/>
          <w:sz w:val="28"/>
          <w:szCs w:val="28"/>
        </w:rPr>
        <w:t xml:space="preserve"> 施工进度表结合施工现场条件及采购人要求而订。中标方必须在规定时间内完成</w:t>
      </w:r>
      <w:r>
        <w:rPr>
          <w:rFonts w:hint="eastAsia" w:ascii="宋体" w:hAnsi="宋体" w:eastAsia="宋体" w:cs="宋体"/>
          <w:sz w:val="28"/>
          <w:szCs w:val="28"/>
          <w:lang w:eastAsia="zh-CN"/>
        </w:rPr>
        <w:t>，否则</w:t>
      </w:r>
      <w:r>
        <w:rPr>
          <w:rFonts w:hint="eastAsia" w:ascii="宋体" w:hAnsi="宋体" w:eastAsia="宋体" w:cs="宋体"/>
          <w:b w:val="0"/>
          <w:bCs w:val="0"/>
          <w:color w:val="auto"/>
          <w:sz w:val="28"/>
          <w:szCs w:val="28"/>
        </w:rPr>
        <w:t>每超过一天医院有权按中标总价的1%处罚中标公司</w:t>
      </w:r>
      <w:r>
        <w:rPr>
          <w:rFonts w:hint="eastAsia" w:ascii="宋体" w:hAnsi="宋体" w:eastAsia="宋体" w:cs="宋体"/>
          <w:b w:val="0"/>
          <w:bCs w:val="0"/>
          <w:color w:val="auto"/>
          <w:sz w:val="28"/>
          <w:szCs w:val="28"/>
          <w:lang w:eastAsia="zh-CN"/>
        </w:rPr>
        <w:t>，累计超过</w:t>
      </w:r>
      <w:r>
        <w:rPr>
          <w:rFonts w:hint="eastAsia" w:ascii="宋体" w:hAnsi="宋体" w:eastAsia="宋体" w:cs="宋体"/>
          <w:b w:val="0"/>
          <w:bCs w:val="0"/>
          <w:color w:val="auto"/>
          <w:sz w:val="28"/>
          <w:szCs w:val="28"/>
          <w:lang w:val="en-US" w:eastAsia="zh-CN"/>
        </w:rPr>
        <w:t>5天医院有权终止合同</w:t>
      </w:r>
      <w:r>
        <w:rPr>
          <w:rFonts w:hint="eastAsia" w:ascii="宋体" w:hAnsi="宋体" w:eastAsia="宋体" w:cs="宋体"/>
          <w:sz w:val="28"/>
          <w:szCs w:val="28"/>
          <w:lang w:val="zh-CN"/>
        </w:rPr>
        <w:t>，</w:t>
      </w:r>
      <w:r>
        <w:rPr>
          <w:rFonts w:hint="eastAsia" w:ascii="宋体" w:hAnsi="宋体" w:eastAsia="宋体" w:cs="宋体"/>
          <w:sz w:val="28"/>
          <w:szCs w:val="28"/>
        </w:rPr>
        <w:t>并</w:t>
      </w:r>
      <w:r>
        <w:rPr>
          <w:rFonts w:hint="eastAsia" w:ascii="宋体" w:hAnsi="宋体" w:eastAsia="宋体" w:cs="宋体"/>
          <w:sz w:val="28"/>
          <w:szCs w:val="28"/>
          <w:lang w:eastAsia="zh-CN"/>
        </w:rPr>
        <w:t>有权对中标公司</w:t>
      </w:r>
      <w:r>
        <w:rPr>
          <w:rFonts w:hint="eastAsia" w:ascii="宋体" w:hAnsi="宋体" w:eastAsia="宋体" w:cs="宋体"/>
          <w:sz w:val="28"/>
          <w:szCs w:val="28"/>
        </w:rPr>
        <w:t>处罚违约金不低于</w:t>
      </w:r>
      <w:r>
        <w:rPr>
          <w:rFonts w:hint="eastAsia" w:ascii="宋体" w:hAnsi="宋体" w:eastAsia="宋体" w:cs="宋体"/>
          <w:sz w:val="28"/>
          <w:szCs w:val="28"/>
          <w:lang w:val="en-US" w:eastAsia="zh-CN"/>
        </w:rPr>
        <w:t>2</w:t>
      </w:r>
      <w:r>
        <w:rPr>
          <w:rFonts w:hint="eastAsia" w:ascii="宋体" w:hAnsi="宋体" w:eastAsia="宋体" w:cs="宋体"/>
          <w:sz w:val="28"/>
          <w:szCs w:val="28"/>
        </w:rPr>
        <w:t>万元</w:t>
      </w:r>
      <w:r>
        <w:rPr>
          <w:rFonts w:hint="eastAsia" w:ascii="宋体" w:hAnsi="宋体" w:eastAsia="宋体" w:cs="宋体"/>
          <w:sz w:val="28"/>
          <w:szCs w:val="28"/>
          <w:lang w:val="zh-CN"/>
        </w:rPr>
        <w:t>，</w:t>
      </w:r>
      <w:r>
        <w:rPr>
          <w:rFonts w:hint="eastAsia" w:ascii="宋体" w:hAnsi="宋体" w:eastAsia="宋体" w:cs="宋体"/>
          <w:sz w:val="28"/>
          <w:szCs w:val="28"/>
        </w:rPr>
        <w:t>同时由此而造成的损失和责任由</w:t>
      </w:r>
      <w:r>
        <w:rPr>
          <w:rFonts w:hint="eastAsia" w:ascii="宋体" w:hAnsi="宋体" w:eastAsia="宋体" w:cs="宋体"/>
          <w:sz w:val="28"/>
          <w:szCs w:val="28"/>
          <w:lang w:eastAsia="zh-CN"/>
        </w:rPr>
        <w:t>中标公司</w:t>
      </w:r>
      <w:r>
        <w:rPr>
          <w:rFonts w:hint="eastAsia" w:ascii="宋体" w:hAnsi="宋体" w:eastAsia="宋体" w:cs="宋体"/>
          <w:sz w:val="28"/>
          <w:szCs w:val="28"/>
        </w:rPr>
        <w:t>承担</w:t>
      </w:r>
      <w:r>
        <w:rPr>
          <w:rFonts w:hint="eastAsia" w:ascii="宋体" w:hAnsi="宋体" w:eastAsia="宋体" w:cs="宋体"/>
          <w:sz w:val="28"/>
          <w:szCs w:val="28"/>
          <w:lang w:eastAsia="zh-CN"/>
        </w:rPr>
        <w:t>。</w:t>
      </w:r>
    </w:p>
    <w:p>
      <w:pPr>
        <w:pageBreakBefore w:val="0"/>
        <w:kinsoku/>
        <w:wordWrap/>
        <w:overflowPunct/>
        <w:autoSpaceDE/>
        <w:autoSpaceDN/>
        <w:bidi w:val="0"/>
        <w:spacing w:line="24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检验及验收</w:t>
      </w:r>
    </w:p>
    <w:p>
      <w:pPr>
        <w:keepNext w:val="0"/>
        <w:keepLines w:val="0"/>
        <w:widowControl/>
        <w:suppressLineNumbers w:val="0"/>
        <w:ind w:firstLine="280" w:firstLineChars="100"/>
        <w:jc w:val="left"/>
        <w:rPr>
          <w:rFonts w:hint="eastAsia" w:ascii="宋体" w:hAnsi="宋体" w:eastAsia="宋体" w:cs="宋体"/>
          <w:color w:val="auto"/>
          <w:sz w:val="28"/>
          <w:szCs w:val="28"/>
        </w:rPr>
      </w:pPr>
      <w:r>
        <w:rPr>
          <w:rFonts w:hint="eastAsia" w:ascii="宋体" w:hAnsi="宋体" w:eastAsia="宋体" w:cs="宋体"/>
          <w:sz w:val="28"/>
          <w:szCs w:val="28"/>
        </w:rPr>
        <w:t>（1）验收方法：根据该采购项目技术参数指标及商务要求，由采</w:t>
      </w:r>
      <w:r>
        <w:rPr>
          <w:rFonts w:hint="eastAsia" w:ascii="宋体" w:hAnsi="宋体" w:eastAsia="宋体" w:cs="宋体"/>
          <w:color w:val="auto"/>
          <w:sz w:val="28"/>
          <w:szCs w:val="28"/>
        </w:rPr>
        <w:t>购方组织验收人员对服务产品数量、质量、主要技术参数、售后服务等进行验收。</w:t>
      </w:r>
      <w:r>
        <w:rPr>
          <w:rFonts w:hint="eastAsia" w:ascii="宋体" w:hAnsi="宋体" w:eastAsia="宋体" w:cs="宋体"/>
          <w:color w:val="auto"/>
          <w:kern w:val="0"/>
          <w:sz w:val="28"/>
          <w:szCs w:val="28"/>
          <w:lang w:val="en-US" w:eastAsia="zh-CN" w:bidi="ar"/>
        </w:rPr>
        <w:t>根据《财政部关于进一步加强政府采购需求和履约验收管理 的指导意见》（财库〔2016〕205 号）的规定，结合本项目询价通知书、响应文件等。</w:t>
      </w:r>
    </w:p>
    <w:p>
      <w:pPr>
        <w:keepNext w:val="0"/>
        <w:keepLines w:val="0"/>
        <w:widowControl/>
        <w:suppressLineNumbers w:val="0"/>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rPr>
        <w:t>（2）质量要求：符合国家和行业最新现行相关验收规范和标准，</w:t>
      </w:r>
    </w:p>
    <w:p>
      <w:pPr>
        <w:pageBreakBefore w:val="0"/>
        <w:widowControl/>
        <w:kinsoku/>
        <w:wordWrap/>
        <w:overflowPunct/>
        <w:topLinePunct w:val="0"/>
        <w:bidi w:val="0"/>
        <w:spacing w:line="240" w:lineRule="auto"/>
        <w:jc w:val="left"/>
        <w:rPr>
          <w:rFonts w:hint="eastAsia" w:ascii="宋体" w:hAnsi="宋体" w:eastAsia="宋体" w:cs="宋体"/>
          <w:b/>
          <w:bCs/>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）中标人施工完成后，由采购方组织验收合格后，中标人提供正规发票，医院按照流程报账（其中验收合格后首次支付</w:t>
      </w:r>
      <w:r>
        <w:rPr>
          <w:rFonts w:hint="eastAsia" w:ascii="宋体" w:hAnsi="宋体" w:eastAsia="宋体" w:cs="宋体"/>
          <w:kern w:val="0"/>
          <w:sz w:val="28"/>
          <w:szCs w:val="28"/>
          <w:lang w:val="en-US" w:eastAsia="zh-CN"/>
        </w:rPr>
        <w:t>实际结算总金额</w:t>
      </w:r>
      <w:r>
        <w:rPr>
          <w:rFonts w:hint="eastAsia" w:ascii="宋体" w:hAnsi="宋体" w:eastAsia="宋体" w:cs="宋体"/>
          <w:kern w:val="0"/>
          <w:sz w:val="28"/>
          <w:szCs w:val="28"/>
          <w:lang w:eastAsia="zh-CN"/>
        </w:rPr>
        <w:t>的</w:t>
      </w:r>
      <w:r>
        <w:rPr>
          <w:rFonts w:hint="eastAsia" w:ascii="宋体" w:hAnsi="宋体" w:eastAsia="宋体" w:cs="宋体"/>
          <w:kern w:val="0"/>
          <w:sz w:val="28"/>
          <w:szCs w:val="28"/>
          <w:lang w:val="en-US" w:eastAsia="zh-CN"/>
        </w:rPr>
        <w:t>97%</w:t>
      </w:r>
      <w:r>
        <w:rPr>
          <w:rFonts w:hint="eastAsia" w:ascii="宋体" w:hAnsi="宋体" w:eastAsia="宋体" w:cs="宋体"/>
          <w:kern w:val="0"/>
          <w:sz w:val="28"/>
          <w:szCs w:val="28"/>
          <w:lang w:eastAsia="zh-CN"/>
        </w:rPr>
        <w:t>，其余</w:t>
      </w:r>
      <w:r>
        <w:rPr>
          <w:rFonts w:hint="eastAsia" w:ascii="宋体" w:hAnsi="宋体" w:eastAsia="宋体" w:cs="宋体"/>
          <w:kern w:val="0"/>
          <w:sz w:val="28"/>
          <w:szCs w:val="28"/>
          <w:lang w:val="en-US" w:eastAsia="zh-CN"/>
        </w:rPr>
        <w:t>3%做为质保金待2年质保完成后无息支付）</w:t>
      </w:r>
      <w:r>
        <w:rPr>
          <w:rFonts w:hint="eastAsia" w:ascii="宋体" w:hAnsi="宋体" w:eastAsia="宋体" w:cs="宋体"/>
          <w:kern w:val="0"/>
          <w:sz w:val="28"/>
          <w:szCs w:val="28"/>
          <w:lang w:eastAsia="zh-CN"/>
        </w:rPr>
        <w:t>。但是由于中标人原因造成合同不能继续履行，</w:t>
      </w:r>
      <w:r>
        <w:rPr>
          <w:rFonts w:hint="eastAsia" w:ascii="宋体" w:hAnsi="宋体" w:eastAsia="宋体" w:cs="宋体"/>
          <w:kern w:val="0"/>
          <w:sz w:val="28"/>
          <w:szCs w:val="28"/>
          <w:lang w:val="en-US" w:eastAsia="zh-CN"/>
        </w:rPr>
        <w:t>医院有权终止合同</w:t>
      </w:r>
      <w:r>
        <w:rPr>
          <w:rFonts w:hint="eastAsia" w:ascii="宋体" w:hAnsi="宋体" w:eastAsia="宋体" w:cs="宋体"/>
          <w:kern w:val="0"/>
          <w:sz w:val="28"/>
          <w:szCs w:val="28"/>
          <w:lang w:val="zh-CN" w:eastAsia="zh-CN"/>
        </w:rPr>
        <w:t>，</w:t>
      </w:r>
      <w:r>
        <w:rPr>
          <w:rFonts w:hint="eastAsia" w:ascii="宋体" w:hAnsi="宋体" w:eastAsia="宋体" w:cs="宋体"/>
          <w:kern w:val="0"/>
          <w:sz w:val="28"/>
          <w:szCs w:val="28"/>
          <w:lang w:eastAsia="zh-CN"/>
        </w:rPr>
        <w:t>并有权对中标公司处罚违约金不低于</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zh-CN"/>
        </w:rPr>
        <w:t>万元</w:t>
      </w:r>
      <w:r>
        <w:rPr>
          <w:rFonts w:hint="eastAsia" w:ascii="宋体" w:hAnsi="宋体" w:eastAsia="宋体" w:cs="宋体"/>
          <w:kern w:val="0"/>
          <w:sz w:val="28"/>
          <w:szCs w:val="28"/>
          <w:lang w:val="zh-CN" w:eastAsia="zh-CN"/>
        </w:rPr>
        <w:t>，</w:t>
      </w:r>
      <w:r>
        <w:rPr>
          <w:rFonts w:hint="eastAsia" w:ascii="宋体" w:hAnsi="宋体" w:eastAsia="宋体" w:cs="宋体"/>
          <w:kern w:val="0"/>
          <w:sz w:val="28"/>
          <w:szCs w:val="28"/>
          <w:lang w:eastAsia="zh-CN"/>
        </w:rPr>
        <w:t>同时由此而造成的损失和责任由中标公司承担。</w:t>
      </w:r>
    </w:p>
    <w:p>
      <w:pPr>
        <w:keepNext w:val="0"/>
        <w:keepLines w:val="0"/>
        <w:widowControl/>
        <w:suppressLineNumbers w:val="0"/>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0"/>
          <w:sz w:val="28"/>
          <w:szCs w:val="28"/>
          <w:lang w:val="en-US" w:eastAsia="zh-CN" w:bidi="ar"/>
        </w:rPr>
        <w:t>★ 六、服务要求</w:t>
      </w:r>
      <w:bookmarkStart w:id="0" w:name="_Toc16636"/>
      <w:bookmarkStart w:id="1" w:name="_Toc14671"/>
    </w:p>
    <w:bookmarkEnd w:id="0"/>
    <w:bookmarkEnd w:id="1"/>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1、本项目设施设备质保期为2年。 </w:t>
      </w:r>
    </w:p>
    <w:p>
      <w:pPr>
        <w:keepNext w:val="0"/>
        <w:keepLines w:val="0"/>
        <w:widowControl/>
        <w:suppressLineNumbers w:val="0"/>
        <w:ind w:left="559" w:leftChars="266" w:firstLine="0" w:firstLineChars="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2、质保期内供应商须提供专业售后人员及常用配件并提供 7×</w:t>
      </w:r>
    </w:p>
    <w:p>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24 小时的技 术支持服务。接到采购人故障报修应 1 小时内响应，</w:t>
      </w:r>
      <w:r>
        <w:rPr>
          <w:rFonts w:hint="eastAsia" w:ascii="宋体" w:hAnsi="宋体" w:cs="宋体"/>
          <w:color w:val="auto"/>
          <w:kern w:val="0"/>
          <w:sz w:val="28"/>
          <w:szCs w:val="28"/>
          <w:lang w:val="en-US" w:eastAsia="zh-CN" w:bidi="ar"/>
        </w:rPr>
        <w:t>广安内供应商2小时内到达现场，其它供应商</w:t>
      </w:r>
      <w:r>
        <w:rPr>
          <w:rFonts w:hint="eastAsia" w:ascii="宋体" w:hAnsi="宋体" w:eastAsia="宋体" w:cs="宋体"/>
          <w:color w:val="auto"/>
          <w:kern w:val="0"/>
          <w:sz w:val="28"/>
          <w:szCs w:val="28"/>
          <w:lang w:val="en-US" w:eastAsia="zh-CN" w:bidi="ar"/>
        </w:rPr>
        <w:t xml:space="preserve">4 小时内到达现场，8 小时内不能排除故障的应提供备用产品，以保证产品的正常运转。 </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3、质保期内如出现质量问题，成交人须免费重新提供与本项目所投相同的产品。 </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4、本项目实施过程中所涉及的材料须符合现行国家或行业标准。 </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5、安装及调试要求： </w:t>
      </w:r>
    </w:p>
    <w:p>
      <w:pPr>
        <w:keepNext w:val="0"/>
        <w:keepLines w:val="0"/>
        <w:widowControl/>
        <w:suppressLineNumbers w:val="0"/>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（1）成交供应商需派遣专业技术人员到现场进行安装、调试，并负责调试至正常工作状态。安装施工应按照国家的相关规范进行。 </w:t>
      </w:r>
    </w:p>
    <w:p>
      <w:pPr>
        <w:pageBreakBefore w:val="0"/>
        <w:kinsoku/>
        <w:wordWrap/>
        <w:overflowPunct/>
        <w:topLinePunct w:val="0"/>
        <w:bidi w:val="0"/>
        <w:spacing w:line="240" w:lineRule="auto"/>
        <w:ind w:firstLine="562"/>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（2）安装要求：按照本项目清单量（包括但不限于）及设计图纸完成安装工作。</w:t>
      </w:r>
      <w:r>
        <w:rPr>
          <w:rFonts w:hint="eastAsia" w:ascii="宋体" w:hAnsi="宋体" w:eastAsia="宋体" w:cs="宋体"/>
          <w:color w:val="auto"/>
          <w:sz w:val="28"/>
          <w:szCs w:val="28"/>
          <w:lang w:val="en-US" w:eastAsia="zh-CN"/>
        </w:rPr>
        <w:t>本项目需提供</w:t>
      </w:r>
      <w:r>
        <w:rPr>
          <w:rFonts w:hint="eastAsia" w:ascii="宋体" w:hAnsi="宋体" w:eastAsia="宋体" w:cs="宋体"/>
          <w:color w:val="auto"/>
          <w:sz w:val="28"/>
          <w:szCs w:val="28"/>
          <w:lang w:eastAsia="zh-CN"/>
        </w:rPr>
        <w:t>电缆、配电柜等材料的质量检测及完工后的试验报告。</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6、供应商须提供设备到货验收并操作讲解现场培训至操作人员正常操作。</w:t>
      </w:r>
      <w:r>
        <w:rPr>
          <w:rFonts w:hint="eastAsia" w:ascii="宋体" w:hAnsi="宋体" w:cs="宋体"/>
          <w:color w:val="auto"/>
          <w:kern w:val="0"/>
          <w:sz w:val="28"/>
          <w:szCs w:val="28"/>
          <w:lang w:val="en-US" w:eastAsia="zh-CN" w:bidi="ar"/>
        </w:rPr>
        <w:t>负责</w:t>
      </w:r>
      <w:r>
        <w:rPr>
          <w:rFonts w:hint="eastAsia" w:ascii="宋体" w:hAnsi="宋体" w:eastAsia="宋体" w:cs="宋体"/>
          <w:color w:val="auto"/>
          <w:kern w:val="0"/>
          <w:sz w:val="28"/>
          <w:szCs w:val="28"/>
          <w:lang w:val="en-US" w:eastAsia="zh-CN" w:bidi="ar"/>
        </w:rPr>
        <w:t xml:space="preserve">提供技术培训，包括设备的基本原理、操作及一般设备的保养知识。 </w:t>
      </w:r>
    </w:p>
    <w:p>
      <w:pPr>
        <w:pageBreakBefore w:val="0"/>
        <w:kinsoku/>
        <w:wordWrap/>
        <w:overflowPunct/>
        <w:topLinePunct w:val="0"/>
        <w:bidi w:val="0"/>
        <w:spacing w:line="240" w:lineRule="auto"/>
        <w:ind w:firstLine="562"/>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7、</w:t>
      </w:r>
      <w:r>
        <w:rPr>
          <w:rFonts w:hint="eastAsia" w:ascii="宋体" w:hAnsi="宋体" w:eastAsia="宋体" w:cs="宋体"/>
          <w:color w:val="auto"/>
          <w:kern w:val="0"/>
          <w:sz w:val="28"/>
          <w:szCs w:val="28"/>
          <w:lang w:val="en-US" w:eastAsia="zh-CN" w:bidi="ar"/>
        </w:rPr>
        <w:t>货物交付后，由采购人组织专业人员会同成交供应商依据提供的装箱清单、</w:t>
      </w:r>
      <w:r>
        <w:rPr>
          <w:rFonts w:hint="eastAsia" w:ascii="宋体" w:hAnsi="宋体" w:eastAsia="宋体" w:cs="宋体"/>
          <w:color w:val="auto"/>
          <w:kern w:val="0"/>
          <w:sz w:val="28"/>
          <w:szCs w:val="28"/>
          <w:lang w:val="zh-CN" w:eastAsia="zh-CN" w:bidi="ar"/>
        </w:rPr>
        <w:t>出厂前试验和</w:t>
      </w:r>
      <w:r>
        <w:rPr>
          <w:rFonts w:hint="eastAsia" w:ascii="宋体" w:hAnsi="宋体" w:eastAsia="宋体" w:cs="宋体"/>
          <w:color w:val="auto"/>
          <w:kern w:val="0"/>
          <w:sz w:val="28"/>
          <w:szCs w:val="28"/>
          <w:lang w:val="en-US" w:eastAsia="zh-CN" w:bidi="ar"/>
        </w:rPr>
        <w:t xml:space="preserve">检验合格证书及质量标准等有关资料共同检验。如有短缺、规格质量不符、 资料不全等，有成交供应商在 10日内无偿给予更换、补齐，并承担由此产生的所有费用。 </w:t>
      </w:r>
    </w:p>
    <w:p>
      <w:pPr>
        <w:pageBreakBefore w:val="0"/>
        <w:kinsoku/>
        <w:wordWrap/>
        <w:overflowPunct/>
        <w:topLinePunct w:val="0"/>
        <w:autoSpaceDE/>
        <w:autoSpaceDN/>
        <w:bidi w:val="0"/>
        <w:spacing w:line="24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七、知识产权</w:t>
      </w:r>
    </w:p>
    <w:p>
      <w:pPr>
        <w:pageBreakBefore w:val="0"/>
        <w:kinsoku/>
        <w:wordWrap/>
        <w:overflowPunct/>
        <w:topLinePunct w:val="0"/>
        <w:autoSpaceDE/>
        <w:autoSpaceDN/>
        <w:bidi w:val="0"/>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ageBreakBefore w:val="0"/>
        <w:tabs>
          <w:tab w:val="left" w:pos="7665"/>
        </w:tabs>
        <w:kinsoku/>
        <w:wordWrap/>
        <w:overflowPunct/>
        <w:topLinePunct w:val="0"/>
        <w:bidi w:val="0"/>
        <w:spacing w:line="240" w:lineRule="auto"/>
        <w:ind w:firstLine="562" w:firstLineChars="200"/>
        <w:rPr>
          <w:rFonts w:hint="eastAsia" w:ascii="宋体" w:hAnsi="宋体" w:eastAsia="宋体" w:cs="宋体"/>
          <w:b/>
          <w:bCs/>
          <w:color w:val="auto"/>
          <w:kern w:val="0"/>
          <w:sz w:val="28"/>
          <w:szCs w:val="28"/>
          <w:lang w:val="en-US" w:eastAsia="zh-CN" w:bidi="ar-SA"/>
        </w:rPr>
      </w:pPr>
      <w:bookmarkStart w:id="2" w:name="_Toc183682377"/>
      <w:bookmarkStart w:id="3" w:name="_Toc183582240"/>
      <w:r>
        <w:rPr>
          <w:rFonts w:hint="eastAsia" w:ascii="宋体" w:hAnsi="宋体" w:cs="宋体"/>
          <w:b/>
          <w:bCs/>
          <w:color w:val="auto"/>
          <w:kern w:val="0"/>
          <w:sz w:val="28"/>
          <w:szCs w:val="28"/>
          <w:lang w:val="en-US" w:eastAsia="zh-CN" w:bidi="ar-SA"/>
        </w:rPr>
        <w:t>八</w:t>
      </w:r>
      <w:r>
        <w:rPr>
          <w:rFonts w:hint="eastAsia" w:ascii="宋体" w:hAnsi="宋体" w:eastAsia="宋体" w:cs="宋体"/>
          <w:b/>
          <w:bCs/>
          <w:color w:val="auto"/>
          <w:kern w:val="0"/>
          <w:sz w:val="28"/>
          <w:szCs w:val="28"/>
          <w:lang w:val="en-US" w:eastAsia="zh-CN" w:bidi="ar-SA"/>
        </w:rPr>
        <w:t>、谈判费用</w:t>
      </w:r>
    </w:p>
    <w:p>
      <w:pPr>
        <w:pageBreakBefore w:val="0"/>
        <w:tabs>
          <w:tab w:val="left" w:pos="7665"/>
        </w:tabs>
        <w:kinsoku/>
        <w:wordWrap/>
        <w:overflowPunct/>
        <w:topLinePunct w:val="0"/>
        <w:bidi w:val="0"/>
        <w:spacing w:line="240" w:lineRule="auto"/>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（一）谈判响应人参加谈判的有关一切费用由响应人自行承担。</w:t>
      </w:r>
    </w:p>
    <w:p>
      <w:pPr>
        <w:pageBreakBefore w:val="0"/>
        <w:kinsoku/>
        <w:wordWrap/>
        <w:overflowPunct/>
        <w:topLinePunct w:val="0"/>
        <w:bidi w:val="0"/>
        <w:spacing w:line="240" w:lineRule="auto"/>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（二）履约保证金金额：无。</w:t>
      </w:r>
    </w:p>
    <w:bookmarkEnd w:id="2"/>
    <w:bookmarkEnd w:id="3"/>
    <w:p>
      <w:pPr>
        <w:pageBreakBefore w:val="0"/>
        <w:kinsoku/>
        <w:wordWrap/>
        <w:overflowPunct/>
        <w:topLinePunct w:val="0"/>
        <w:bidi w:val="0"/>
        <w:spacing w:line="240" w:lineRule="auto"/>
        <w:ind w:firstLine="562" w:firstLineChars="200"/>
        <w:jc w:val="left"/>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九</w:t>
      </w:r>
      <w:r>
        <w:rPr>
          <w:rFonts w:hint="eastAsia" w:ascii="宋体" w:hAnsi="宋体" w:eastAsia="宋体" w:cs="宋体"/>
          <w:b/>
          <w:bCs/>
          <w:color w:val="auto"/>
          <w:kern w:val="0"/>
          <w:sz w:val="28"/>
          <w:szCs w:val="28"/>
          <w:lang w:val="en-US" w:eastAsia="zh-CN" w:bidi="ar-SA"/>
        </w:rPr>
        <w:t>、争议解决办法</w:t>
      </w:r>
    </w:p>
    <w:p>
      <w:pPr>
        <w:pageBreakBefore w:val="0"/>
        <w:kinsoku/>
        <w:wordWrap/>
        <w:overflowPunct/>
        <w:topLinePunct w:val="0"/>
        <w:bidi w:val="0"/>
        <w:spacing w:line="240" w:lineRule="auto"/>
        <w:ind w:firstLine="560" w:firstLineChars="200"/>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1、因货物的质量问题发生争议，由质量技术监督部门或其指定的质量鉴定机构进行质量鉴定。货物符合标准的，鉴定费由</w:t>
      </w:r>
      <w:r>
        <w:rPr>
          <w:rFonts w:hint="eastAsia" w:ascii="宋体" w:hAnsi="宋体" w:cs="宋体"/>
          <w:b w:val="0"/>
          <w:bCs w:val="0"/>
          <w:color w:val="auto"/>
          <w:kern w:val="0"/>
          <w:sz w:val="28"/>
          <w:szCs w:val="28"/>
          <w:lang w:val="en-US" w:eastAsia="zh-CN" w:bidi="ar-SA"/>
        </w:rPr>
        <w:t>采购人</w:t>
      </w:r>
      <w:r>
        <w:rPr>
          <w:rFonts w:hint="eastAsia" w:ascii="宋体" w:hAnsi="宋体" w:eastAsia="宋体" w:cs="宋体"/>
          <w:b w:val="0"/>
          <w:bCs w:val="0"/>
          <w:color w:val="auto"/>
          <w:kern w:val="0"/>
          <w:sz w:val="28"/>
          <w:szCs w:val="28"/>
          <w:lang w:val="en-US" w:eastAsia="zh-CN" w:bidi="ar-SA"/>
        </w:rPr>
        <w:t>承担；货物不符合质量标准的，鉴定费由</w:t>
      </w:r>
      <w:r>
        <w:rPr>
          <w:rFonts w:hint="eastAsia" w:ascii="宋体" w:hAnsi="宋体" w:cs="宋体"/>
          <w:b w:val="0"/>
          <w:bCs w:val="0"/>
          <w:color w:val="auto"/>
          <w:kern w:val="0"/>
          <w:sz w:val="28"/>
          <w:szCs w:val="28"/>
          <w:lang w:val="en-US" w:eastAsia="zh-CN" w:bidi="ar-SA"/>
        </w:rPr>
        <w:t>中标人</w:t>
      </w:r>
      <w:r>
        <w:rPr>
          <w:rFonts w:hint="eastAsia" w:ascii="宋体" w:hAnsi="宋体" w:eastAsia="宋体" w:cs="宋体"/>
          <w:b w:val="0"/>
          <w:bCs w:val="0"/>
          <w:color w:val="auto"/>
          <w:kern w:val="0"/>
          <w:sz w:val="28"/>
          <w:szCs w:val="28"/>
          <w:lang w:val="en-US" w:eastAsia="zh-CN" w:bidi="ar-SA"/>
        </w:rPr>
        <w:t>承担。</w:t>
      </w:r>
    </w:p>
    <w:p>
      <w:pPr>
        <w:pageBreakBefore w:val="0"/>
        <w:kinsoku/>
        <w:wordWrap/>
        <w:overflowPunct/>
        <w:topLinePunct w:val="0"/>
        <w:bidi w:val="0"/>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b w:val="0"/>
          <w:bCs w:val="0"/>
          <w:kern w:val="0"/>
          <w:sz w:val="28"/>
          <w:szCs w:val="28"/>
          <w:lang w:val="en-US" w:eastAsia="zh-CN" w:bidi="ar-SA"/>
        </w:rPr>
        <w:t>2、合同履行期间,若双方发生争议，可协商或由有关部门调解解决，协商或调解不成的，由当事人依法维护其合法权益。</w:t>
      </w:r>
    </w:p>
    <w:p>
      <w:pPr>
        <w:pStyle w:val="6"/>
        <w:pageBreakBefore w:val="0"/>
        <w:numPr>
          <w:ilvl w:val="0"/>
          <w:numId w:val="0"/>
        </w:numPr>
        <w:kinsoku/>
        <w:wordWrap/>
        <w:overflowPunct/>
        <w:topLinePunct w:val="0"/>
        <w:autoSpaceDE/>
        <w:autoSpaceDN/>
        <w:bidi w:val="0"/>
        <w:adjustRightInd w:val="0"/>
        <w:snapToGrid w:val="0"/>
        <w:spacing w:before="0" w:after="0" w:line="240" w:lineRule="auto"/>
        <w:ind w:firstLine="562" w:firstLineChars="200"/>
        <w:jc w:val="left"/>
        <w:rPr>
          <w:rFonts w:hint="eastAsia" w:ascii="宋体" w:hAnsi="宋体" w:eastAsia="宋体" w:cs="宋体"/>
          <w:b/>
          <w:bCs w:val="0"/>
          <w:sz w:val="28"/>
          <w:szCs w:val="28"/>
        </w:rPr>
      </w:pPr>
      <w:bookmarkStart w:id="4" w:name="_Toc217446069"/>
      <w:r>
        <w:rPr>
          <w:rFonts w:hint="eastAsia" w:ascii="宋体" w:hAnsi="宋体" w:eastAsia="宋体" w:cs="宋体"/>
          <w:b/>
          <w:bCs w:val="0"/>
          <w:sz w:val="28"/>
          <w:szCs w:val="28"/>
          <w:lang w:val="en-US" w:eastAsia="zh-CN"/>
        </w:rPr>
        <w:t>十、</w:t>
      </w:r>
      <w:r>
        <w:rPr>
          <w:rFonts w:hint="eastAsia" w:ascii="宋体" w:hAnsi="宋体" w:eastAsia="宋体" w:cs="宋体"/>
          <w:b/>
          <w:bCs w:val="0"/>
          <w:sz w:val="28"/>
          <w:szCs w:val="28"/>
        </w:rPr>
        <w:t>履行合同</w:t>
      </w:r>
      <w:bookmarkEnd w:id="4"/>
    </w:p>
    <w:p>
      <w:pPr>
        <w:pageBreakBefore w:val="0"/>
        <w:kinsoku/>
        <w:wordWrap/>
        <w:overflowPunct/>
        <w:topLinePunct w:val="0"/>
        <w:autoSpaceDE/>
        <w:autoSpaceDN/>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中标人与采购人签订合同后，合同双方应严格执行合同条款，履行合同规定的义务，保证合同的顺利完成。</w:t>
      </w:r>
      <w:r>
        <w:rPr>
          <w:rFonts w:hint="eastAsia" w:ascii="宋体" w:hAnsi="宋体" w:eastAsia="宋体" w:cs="宋体"/>
          <w:color w:val="auto"/>
          <w:sz w:val="28"/>
          <w:szCs w:val="28"/>
          <w:lang w:eastAsia="zh-CN"/>
        </w:rPr>
        <w:t>由于中标人原因造成合同不能继续履行，且采购人有权追究其造成的一切损失和责任，并处罚违约金不低于</w:t>
      </w:r>
      <w:r>
        <w:rPr>
          <w:rFonts w:hint="eastAsia" w:ascii="宋体" w:hAnsi="宋体" w:eastAsia="宋体" w:cs="宋体"/>
          <w:color w:val="auto"/>
          <w:sz w:val="28"/>
          <w:szCs w:val="28"/>
          <w:lang w:val="en-US" w:eastAsia="zh-CN"/>
        </w:rPr>
        <w:t>5万元。</w:t>
      </w:r>
    </w:p>
    <w:p>
      <w:pPr>
        <w:pageBreakBefore w:val="0"/>
        <w:kinsoku/>
        <w:wordWrap/>
        <w:overflowPunct/>
        <w:topLinePunct w:val="0"/>
        <w:autoSpaceDE/>
        <w:autoSpaceDN/>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在合同履行过程中，如发生合同纠纷，合同双方应按照《中华人民共和国民法典》的有关规定进行处理。</w:t>
      </w:r>
    </w:p>
    <w:p>
      <w:pPr>
        <w:pStyle w:val="10"/>
        <w:rPr>
          <w:rFonts w:hint="eastAsia"/>
        </w:rPr>
      </w:pPr>
    </w:p>
    <w:p>
      <w:pPr>
        <w:pageBreakBefore w:val="0"/>
        <w:tabs>
          <w:tab w:val="left" w:pos="425"/>
          <w:tab w:val="left" w:pos="900"/>
        </w:tabs>
        <w:kinsoku/>
        <w:wordWrap/>
        <w:overflowPunct/>
        <w:topLinePunct w:val="0"/>
        <w:bidi w:val="0"/>
        <w:spacing w:line="240" w:lineRule="auto"/>
        <w:ind w:firstLine="420" w:firstLineChars="150"/>
        <w:rPr>
          <w:rFonts w:hint="eastAsia" w:ascii="宋体" w:hAnsi="宋体" w:eastAsia="宋体" w:cs="宋体"/>
          <w:sz w:val="28"/>
          <w:szCs w:val="28"/>
          <w:lang w:val="en-US" w:eastAsia="zh-CN"/>
        </w:rPr>
      </w:pPr>
      <w:bookmarkStart w:id="5" w:name="_Toc30887"/>
      <w:bookmarkStart w:id="6" w:name="_Toc179632616"/>
      <w:bookmarkStart w:id="7" w:name="_Toc360783198"/>
      <w:bookmarkStart w:id="8" w:name="_Toc296602486"/>
      <w:bookmarkStart w:id="9" w:name="_Toc247085756"/>
      <w:bookmarkStart w:id="10" w:name="_Toc246996984"/>
      <w:bookmarkStart w:id="11" w:name="_Toc152045598"/>
      <w:bookmarkStart w:id="12" w:name="_Toc351390134"/>
      <w:bookmarkStart w:id="13" w:name="_Toc152042375"/>
      <w:bookmarkStart w:id="14" w:name="_Toc246996241"/>
      <w:bookmarkStart w:id="15" w:name="_Toc360783465"/>
      <w:bookmarkStart w:id="16" w:name="_Toc144974565"/>
      <w:r>
        <w:rPr>
          <w:rFonts w:hint="eastAsia" w:ascii="宋体" w:hAnsi="宋体" w:eastAsia="宋体" w:cs="宋体"/>
          <w:sz w:val="28"/>
          <w:szCs w:val="28"/>
        </w:rPr>
        <w:t xml:space="preserve"> 本次工程招标标有“★”部分要求不允许负偏离，否则视为无效投标。</w:t>
      </w:r>
    </w:p>
    <w:p>
      <w:pPr>
        <w:pStyle w:val="4"/>
        <w:pageBreakBefore w:val="0"/>
        <w:kinsoku/>
        <w:wordWrap/>
        <w:overflowPunct/>
        <w:topLinePunct w:val="0"/>
        <w:bidi w:val="0"/>
        <w:spacing w:line="240" w:lineRule="auto"/>
        <w:jc w:val="center"/>
        <w:rPr>
          <w:rFonts w:hint="eastAsia" w:ascii="宋体" w:hAnsi="宋体" w:eastAsia="宋体" w:cs="宋体"/>
          <w:sz w:val="28"/>
          <w:szCs w:val="28"/>
        </w:rPr>
      </w:pPr>
      <w:r>
        <w:rPr>
          <w:rFonts w:hint="eastAsia" w:ascii="宋体" w:hAnsi="宋体" w:eastAsia="宋体" w:cs="宋体"/>
          <w:sz w:val="28"/>
          <w:szCs w:val="28"/>
        </w:rPr>
        <w:t>评标办法</w:t>
      </w:r>
      <w:bookmarkEnd w:id="5"/>
      <w:bookmarkStart w:id="17" w:name="_Hlt101846155"/>
      <w:bookmarkEnd w:id="17"/>
    </w:p>
    <w:bookmarkEnd w:id="6"/>
    <w:bookmarkEnd w:id="7"/>
    <w:bookmarkEnd w:id="8"/>
    <w:bookmarkEnd w:id="9"/>
    <w:bookmarkEnd w:id="10"/>
    <w:bookmarkEnd w:id="11"/>
    <w:bookmarkEnd w:id="12"/>
    <w:bookmarkEnd w:id="13"/>
    <w:bookmarkEnd w:id="14"/>
    <w:bookmarkEnd w:id="15"/>
    <w:bookmarkEnd w:id="16"/>
    <w:p>
      <w:pPr>
        <w:numPr>
          <w:ilvl w:val="0"/>
          <w:numId w:val="1"/>
        </w:numPr>
        <w:snapToGrid w:val="0"/>
        <w:spacing w:line="360" w:lineRule="auto"/>
        <w:rPr>
          <w:rFonts w:hint="eastAsia" w:ascii="宋体" w:hAnsi="宋体" w:cs="宋体"/>
          <w:b/>
          <w:bCs/>
          <w:color w:val="auto"/>
          <w:sz w:val="24"/>
        </w:rPr>
      </w:pPr>
      <w:bookmarkStart w:id="18" w:name="_Toc24274"/>
      <w:bookmarkStart w:id="19" w:name="_Toc14853"/>
      <w:r>
        <w:rPr>
          <w:rFonts w:hint="eastAsia" w:ascii="宋体" w:hAnsi="宋体" w:cs="宋体"/>
          <w:b/>
          <w:bCs/>
          <w:color w:val="auto"/>
          <w:sz w:val="24"/>
          <w:lang w:val="en-US" w:eastAsia="zh-CN"/>
        </w:rPr>
        <w:t>本项目</w:t>
      </w:r>
      <w:r>
        <w:rPr>
          <w:rFonts w:hint="eastAsia" w:ascii="宋体" w:hAnsi="宋体" w:eastAsia="宋体" w:cs="宋体"/>
          <w:b/>
          <w:bCs/>
          <w:color w:val="auto"/>
          <w:sz w:val="28"/>
          <w:szCs w:val="28"/>
        </w:rPr>
        <w:t>评标办法</w:t>
      </w:r>
      <w:r>
        <w:rPr>
          <w:rFonts w:hint="eastAsia" w:ascii="宋体" w:hAnsi="宋体" w:eastAsia="宋体" w:cs="宋体"/>
          <w:b/>
          <w:bCs/>
          <w:color w:val="auto"/>
          <w:sz w:val="28"/>
          <w:szCs w:val="28"/>
          <w:lang w:val="en-US" w:eastAsia="zh-CN"/>
        </w:rPr>
        <w:t>采用</w:t>
      </w:r>
      <w:r>
        <w:rPr>
          <w:rFonts w:hint="eastAsia" w:ascii="宋体" w:hAnsi="宋体" w:cs="宋体"/>
          <w:b/>
          <w:bCs/>
          <w:color w:val="auto"/>
          <w:sz w:val="24"/>
        </w:rPr>
        <w:t>综合评分</w:t>
      </w:r>
      <w:bookmarkEnd w:id="18"/>
      <w:bookmarkEnd w:id="19"/>
      <w:r>
        <w:rPr>
          <w:rFonts w:hint="eastAsia" w:ascii="宋体" w:hAnsi="宋体" w:cs="宋体"/>
          <w:b/>
          <w:bCs/>
          <w:color w:val="auto"/>
          <w:sz w:val="24"/>
          <w:lang w:eastAsia="zh-CN"/>
        </w:rPr>
        <w:t>（</w:t>
      </w:r>
      <w:r>
        <w:rPr>
          <w:rFonts w:hint="eastAsia" w:ascii="宋体" w:hAnsi="宋体" w:cs="宋体"/>
          <w:b/>
          <w:bCs/>
          <w:color w:val="auto"/>
          <w:sz w:val="24"/>
        </w:rPr>
        <w:t>详见综合评分明细表</w:t>
      </w:r>
      <w:r>
        <w:rPr>
          <w:rFonts w:hint="eastAsia" w:ascii="宋体" w:hAnsi="宋体" w:cs="宋体"/>
          <w:b/>
          <w:bCs/>
          <w:color w:val="auto"/>
          <w:sz w:val="24"/>
          <w:lang w:eastAsia="zh-CN"/>
        </w:rPr>
        <w:t>）</w:t>
      </w:r>
      <w:r>
        <w:rPr>
          <w:rFonts w:hint="eastAsia" w:ascii="宋体" w:hAnsi="宋体" w:cs="宋体"/>
          <w:b/>
          <w:bCs/>
          <w:color w:val="auto"/>
          <w:sz w:val="24"/>
        </w:rPr>
        <w:t>。</w:t>
      </w:r>
    </w:p>
    <w:p>
      <w:pPr>
        <w:numPr>
          <w:numId w:val="0"/>
        </w:numPr>
        <w:snapToGrid w:val="0"/>
        <w:spacing w:line="360" w:lineRule="auto"/>
        <w:jc w:val="center"/>
        <w:rPr>
          <w:rFonts w:hint="eastAsia" w:ascii="宋体" w:hAnsi="宋体" w:eastAsia="宋体" w:cs="宋体"/>
          <w:color w:val="auto"/>
          <w:kern w:val="0"/>
          <w:sz w:val="28"/>
          <w:szCs w:val="28"/>
          <w:lang w:val="en-US" w:eastAsia="zh-CN" w:bidi="ar"/>
        </w:rPr>
      </w:pPr>
      <w:r>
        <w:rPr>
          <w:rFonts w:hint="eastAsia" w:ascii="宋体" w:hAnsi="宋体" w:cs="宋体"/>
          <w:color w:val="auto"/>
          <w:sz w:val="24"/>
        </w:rPr>
        <w:t>综合评分明细表</w:t>
      </w:r>
    </w:p>
    <w:tbl>
      <w:tblPr>
        <w:tblStyle w:val="13"/>
        <w:tblW w:w="92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774"/>
        <w:gridCol w:w="586"/>
        <w:gridCol w:w="5418"/>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858" w:type="dxa"/>
            <w:noWrap w:val="0"/>
            <w:vAlign w:val="center"/>
          </w:tcPr>
          <w:p>
            <w:pPr>
              <w:spacing w:line="360" w:lineRule="auto"/>
              <w:jc w:val="center"/>
              <w:rPr>
                <w:color w:val="auto"/>
                <w:sz w:val="24"/>
              </w:rPr>
            </w:pPr>
            <w:r>
              <w:rPr>
                <w:rFonts w:hint="eastAsia"/>
                <w:color w:val="auto"/>
                <w:sz w:val="24"/>
              </w:rPr>
              <w:t>序号</w:t>
            </w:r>
          </w:p>
        </w:tc>
        <w:tc>
          <w:tcPr>
            <w:tcW w:w="1774" w:type="dxa"/>
            <w:tcBorders>
              <w:right w:val="single" w:color="auto" w:sz="4" w:space="0"/>
            </w:tcBorders>
            <w:noWrap w:val="0"/>
            <w:vAlign w:val="center"/>
          </w:tcPr>
          <w:p>
            <w:pPr>
              <w:spacing w:line="360" w:lineRule="auto"/>
              <w:jc w:val="center"/>
              <w:rPr>
                <w:color w:val="auto"/>
                <w:sz w:val="24"/>
              </w:rPr>
            </w:pPr>
            <w:r>
              <w:rPr>
                <w:rFonts w:hint="eastAsia"/>
                <w:color w:val="auto"/>
                <w:sz w:val="24"/>
              </w:rPr>
              <w:t>评审因素</w:t>
            </w:r>
          </w:p>
        </w:tc>
        <w:tc>
          <w:tcPr>
            <w:tcW w:w="586" w:type="dxa"/>
            <w:tcBorders>
              <w:left w:val="single" w:color="auto" w:sz="4" w:space="0"/>
            </w:tcBorders>
            <w:noWrap w:val="0"/>
            <w:vAlign w:val="center"/>
          </w:tcPr>
          <w:p>
            <w:pPr>
              <w:spacing w:line="360" w:lineRule="auto"/>
              <w:jc w:val="center"/>
              <w:rPr>
                <w:color w:val="auto"/>
                <w:sz w:val="24"/>
              </w:rPr>
            </w:pPr>
            <w:r>
              <w:rPr>
                <w:rFonts w:hint="eastAsia"/>
                <w:color w:val="auto"/>
                <w:sz w:val="24"/>
              </w:rPr>
              <w:t>分值</w:t>
            </w:r>
          </w:p>
        </w:tc>
        <w:tc>
          <w:tcPr>
            <w:tcW w:w="5418" w:type="dxa"/>
            <w:noWrap w:val="0"/>
            <w:vAlign w:val="center"/>
          </w:tcPr>
          <w:p>
            <w:pPr>
              <w:spacing w:line="360" w:lineRule="auto"/>
              <w:jc w:val="center"/>
              <w:rPr>
                <w:color w:val="auto"/>
                <w:sz w:val="24"/>
              </w:rPr>
            </w:pPr>
            <w:r>
              <w:rPr>
                <w:rFonts w:hint="eastAsia"/>
                <w:color w:val="auto"/>
                <w:sz w:val="24"/>
              </w:rPr>
              <w:t>评审标准及分数设定</w:t>
            </w:r>
          </w:p>
        </w:tc>
        <w:tc>
          <w:tcPr>
            <w:tcW w:w="645" w:type="dxa"/>
            <w:noWrap w:val="0"/>
            <w:vAlign w:val="center"/>
          </w:tcPr>
          <w:p>
            <w:pPr>
              <w:spacing w:line="360" w:lineRule="auto"/>
              <w:jc w:val="center"/>
              <w:rPr>
                <w:color w:val="auto"/>
                <w:sz w:val="24"/>
              </w:rPr>
            </w:pPr>
            <w:r>
              <w:rPr>
                <w:rFonts w:hint="eastAsia"/>
                <w:color w:val="auto"/>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858" w:type="dxa"/>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eastAsia="zh-CN"/>
              </w:rPr>
              <w:t>一</w:t>
            </w:r>
          </w:p>
        </w:tc>
        <w:tc>
          <w:tcPr>
            <w:tcW w:w="1774" w:type="dxa"/>
            <w:tcBorders>
              <w:right w:val="single" w:color="auto" w:sz="4" w:space="0"/>
            </w:tcBorders>
            <w:noWrap w:val="0"/>
            <w:vAlign w:val="center"/>
          </w:tcPr>
          <w:p>
            <w:pPr>
              <w:spacing w:line="360" w:lineRule="auto"/>
              <w:jc w:val="center"/>
              <w:rPr>
                <w:rFonts w:hint="eastAsia"/>
                <w:color w:val="auto"/>
                <w:sz w:val="24"/>
                <w:szCs w:val="24"/>
              </w:rPr>
            </w:pPr>
            <w:r>
              <w:rPr>
                <w:rFonts w:hint="eastAsia"/>
                <w:color w:val="auto"/>
                <w:sz w:val="24"/>
                <w:szCs w:val="24"/>
              </w:rPr>
              <w:t>报价</w:t>
            </w:r>
          </w:p>
        </w:tc>
        <w:tc>
          <w:tcPr>
            <w:tcW w:w="586" w:type="dxa"/>
            <w:tcBorders>
              <w:left w:val="single" w:color="auto" w:sz="4" w:space="0"/>
            </w:tcBorders>
            <w:noWrap w:val="0"/>
            <w:vAlign w:val="center"/>
          </w:tcPr>
          <w:p>
            <w:pPr>
              <w:spacing w:line="360" w:lineRule="auto"/>
              <w:jc w:val="center"/>
              <w:rPr>
                <w:rFonts w:hint="eastAsia"/>
                <w:color w:val="auto"/>
                <w:sz w:val="24"/>
                <w:szCs w:val="24"/>
              </w:rPr>
            </w:pPr>
            <w:r>
              <w:rPr>
                <w:rFonts w:hint="eastAsia"/>
                <w:color w:val="auto"/>
                <w:sz w:val="24"/>
                <w:szCs w:val="24"/>
                <w:lang w:val="en-US" w:eastAsia="zh-CN"/>
              </w:rPr>
              <w:t>3</w:t>
            </w:r>
            <w:r>
              <w:rPr>
                <w:rFonts w:hint="eastAsia"/>
                <w:color w:val="auto"/>
                <w:sz w:val="24"/>
                <w:szCs w:val="24"/>
              </w:rPr>
              <w:t>0</w:t>
            </w:r>
          </w:p>
        </w:tc>
        <w:tc>
          <w:tcPr>
            <w:tcW w:w="5418" w:type="dxa"/>
            <w:tcBorders>
              <w:bottom w:val="single" w:color="auto" w:sz="4" w:space="0"/>
            </w:tcBorders>
            <w:noWrap w:val="0"/>
            <w:vAlign w:val="center"/>
          </w:tcPr>
          <w:p>
            <w:pPr>
              <w:snapToGrid w:val="0"/>
              <w:spacing w:line="300" w:lineRule="auto"/>
              <w:rPr>
                <w:rFonts w:hint="eastAsia" w:hAnsi="宋体" w:cs="宋体"/>
                <w:color w:val="auto"/>
                <w:sz w:val="24"/>
                <w:szCs w:val="24"/>
              </w:rPr>
            </w:pPr>
            <w:r>
              <w:rPr>
                <w:rFonts w:hint="eastAsia" w:ascii="宋体" w:hAnsi="宋体" w:cs="宋体"/>
                <w:color w:val="auto"/>
                <w:sz w:val="24"/>
                <w:szCs w:val="24"/>
                <w:lang w:eastAsia="zh-CN"/>
              </w:rPr>
              <w:t>满足招标文件要求且投标价格最低的有效投标报价为评标基准价，其价格分为满分。其他投标人的价格分统一按照下列公式计算：投标报价得分=（评标基准价/投标报价）*</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0（得分保留至小数点后两位数字）。</w:t>
            </w:r>
          </w:p>
        </w:tc>
        <w:tc>
          <w:tcPr>
            <w:tcW w:w="645" w:type="dxa"/>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858" w:type="dxa"/>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eastAsia="zh-CN"/>
              </w:rPr>
              <w:t>二</w:t>
            </w:r>
          </w:p>
        </w:tc>
        <w:tc>
          <w:tcPr>
            <w:tcW w:w="1774" w:type="dxa"/>
            <w:tcBorders>
              <w:right w:val="single" w:color="auto" w:sz="4" w:space="0"/>
            </w:tcBorders>
            <w:noWrap w:val="0"/>
            <w:vAlign w:val="center"/>
          </w:tcPr>
          <w:p>
            <w:pPr>
              <w:spacing w:line="360" w:lineRule="auto"/>
              <w:jc w:val="center"/>
              <w:rPr>
                <w:color w:val="auto"/>
                <w:sz w:val="24"/>
                <w:szCs w:val="24"/>
              </w:rPr>
            </w:pPr>
            <w:r>
              <w:rPr>
                <w:rFonts w:hint="eastAsia"/>
                <w:color w:val="auto"/>
                <w:sz w:val="24"/>
                <w:szCs w:val="24"/>
              </w:rPr>
              <w:t>企业业绩</w:t>
            </w:r>
          </w:p>
        </w:tc>
        <w:tc>
          <w:tcPr>
            <w:tcW w:w="586" w:type="dxa"/>
            <w:tcBorders>
              <w:left w:val="single" w:color="auto" w:sz="4" w:space="0"/>
            </w:tcBorders>
            <w:noWrap w:val="0"/>
            <w:vAlign w:val="center"/>
          </w:tcPr>
          <w:p>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14</w:t>
            </w:r>
          </w:p>
        </w:tc>
        <w:tc>
          <w:tcPr>
            <w:tcW w:w="5418" w:type="dxa"/>
            <w:tcBorders>
              <w:bottom w:val="single" w:color="auto" w:sz="4" w:space="0"/>
            </w:tcBorders>
            <w:noWrap w:val="0"/>
            <w:vAlign w:val="center"/>
          </w:tcPr>
          <w:p>
            <w:pPr>
              <w:pStyle w:val="9"/>
              <w:snapToGrid w:val="0"/>
              <w:spacing w:line="300" w:lineRule="auto"/>
              <w:rPr>
                <w:rFonts w:hint="eastAsia" w:hAnsi="宋体" w:cs="宋体"/>
                <w:color w:val="auto"/>
                <w:sz w:val="24"/>
                <w:szCs w:val="24"/>
              </w:rPr>
            </w:pPr>
            <w:r>
              <w:rPr>
                <w:rFonts w:hint="eastAsia" w:hAnsi="宋体" w:cs="宋体"/>
                <w:color w:val="auto"/>
                <w:sz w:val="24"/>
                <w:szCs w:val="24"/>
              </w:rPr>
              <w:t>供应商自2020年1月1日以来，每具备1个类似项目业绩的得</w:t>
            </w:r>
            <w:r>
              <w:rPr>
                <w:rFonts w:hint="eastAsia" w:hAnsi="宋体" w:cs="宋体"/>
                <w:color w:val="auto"/>
                <w:sz w:val="24"/>
                <w:szCs w:val="24"/>
                <w:lang w:val="en-US" w:eastAsia="zh-CN"/>
              </w:rPr>
              <w:t>2</w:t>
            </w:r>
            <w:r>
              <w:rPr>
                <w:rFonts w:hint="eastAsia" w:hAnsi="宋体" w:cs="宋体"/>
                <w:color w:val="auto"/>
                <w:sz w:val="24"/>
                <w:szCs w:val="24"/>
              </w:rPr>
              <w:t>分，本项最多得为1</w:t>
            </w:r>
            <w:r>
              <w:rPr>
                <w:rFonts w:hint="eastAsia" w:hAnsi="宋体" w:cs="宋体"/>
                <w:color w:val="auto"/>
                <w:sz w:val="24"/>
                <w:szCs w:val="24"/>
                <w:lang w:val="en-US" w:eastAsia="zh-CN"/>
              </w:rPr>
              <w:t>4</w:t>
            </w:r>
            <w:r>
              <w:rPr>
                <w:rFonts w:hint="eastAsia" w:hAnsi="宋体" w:cs="宋体"/>
                <w:color w:val="auto"/>
                <w:sz w:val="24"/>
                <w:szCs w:val="24"/>
              </w:rPr>
              <w:t>分。</w:t>
            </w:r>
          </w:p>
          <w:p>
            <w:pPr>
              <w:spacing w:line="360" w:lineRule="auto"/>
              <w:rPr>
                <w:color w:val="auto"/>
                <w:sz w:val="24"/>
                <w:szCs w:val="24"/>
              </w:rPr>
            </w:pPr>
            <w:r>
              <w:rPr>
                <w:rFonts w:hint="eastAsia" w:hAnsi="宋体" w:cs="宋体"/>
                <w:color w:val="auto"/>
                <w:sz w:val="24"/>
                <w:szCs w:val="24"/>
              </w:rPr>
              <w:t>注：提供合同复印件加盖供应商单位公章。</w:t>
            </w:r>
          </w:p>
        </w:tc>
        <w:tc>
          <w:tcPr>
            <w:tcW w:w="645" w:type="dxa"/>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858" w:type="dxa"/>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eastAsia="zh-CN"/>
              </w:rPr>
              <w:t>三</w:t>
            </w:r>
          </w:p>
        </w:tc>
        <w:tc>
          <w:tcPr>
            <w:tcW w:w="1774" w:type="dxa"/>
            <w:tcBorders>
              <w:right w:val="single" w:color="auto" w:sz="4" w:space="0"/>
            </w:tcBorders>
            <w:noWrap w:val="0"/>
            <w:vAlign w:val="center"/>
          </w:tcPr>
          <w:p>
            <w:pPr>
              <w:spacing w:line="360" w:lineRule="auto"/>
              <w:jc w:val="center"/>
              <w:rPr>
                <w:rFonts w:hint="eastAsia"/>
                <w:color w:val="auto"/>
                <w:sz w:val="24"/>
                <w:szCs w:val="24"/>
              </w:rPr>
            </w:pPr>
            <w:r>
              <w:rPr>
                <w:rFonts w:hint="eastAsia"/>
                <w:color w:val="auto"/>
                <w:sz w:val="24"/>
                <w:szCs w:val="24"/>
              </w:rPr>
              <w:t>公司实力</w:t>
            </w:r>
          </w:p>
        </w:tc>
        <w:tc>
          <w:tcPr>
            <w:tcW w:w="586" w:type="dxa"/>
            <w:tcBorders>
              <w:left w:val="single" w:color="auto" w:sz="4" w:space="0"/>
            </w:tcBorders>
            <w:noWrap w:val="0"/>
            <w:vAlign w:val="center"/>
          </w:tcPr>
          <w:p>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6</w:t>
            </w:r>
          </w:p>
        </w:tc>
        <w:tc>
          <w:tcPr>
            <w:tcW w:w="5418" w:type="dxa"/>
            <w:noWrap w:val="0"/>
            <w:vAlign w:val="center"/>
          </w:tcPr>
          <w:p>
            <w:pPr>
              <w:pStyle w:val="19"/>
              <w:numPr>
                <w:ilvl w:val="0"/>
                <w:numId w:val="0"/>
              </w:numPr>
              <w:adjustRightInd w:val="0"/>
              <w:snapToGrid w:val="0"/>
              <w:spacing w:line="300" w:lineRule="auto"/>
              <w:jc w:val="both"/>
              <w:rPr>
                <w:rFonts w:hint="eastAsia" w:ascii="宋体" w:hAnsi="Times New Roman" w:eastAsia="宋体" w:cs="Times New Roman"/>
                <w:color w:val="auto"/>
                <w:sz w:val="24"/>
                <w:szCs w:val="24"/>
                <w:lang w:val="en-US" w:eastAsia="zh-Hans" w:bidi="ar-SA"/>
              </w:rPr>
            </w:pPr>
            <w:r>
              <w:rPr>
                <w:rFonts w:hint="eastAsia" w:ascii="宋体" w:hAnsi="Times New Roman" w:eastAsia="宋体" w:cs="Times New Roman"/>
                <w:color w:val="auto"/>
                <w:sz w:val="24"/>
                <w:szCs w:val="24"/>
                <w:lang w:val="en-US" w:eastAsia="zh-CN" w:bidi="ar-SA"/>
              </w:rPr>
              <w:t>（1）投标单位</w:t>
            </w:r>
            <w:r>
              <w:rPr>
                <w:rFonts w:hint="eastAsia" w:ascii="宋体" w:hAnsi="Times New Roman" w:eastAsia="宋体" w:cs="Times New Roman"/>
                <w:color w:val="auto"/>
                <w:sz w:val="24"/>
                <w:szCs w:val="24"/>
                <w:lang w:val="en-US" w:eastAsia="zh-Hans" w:bidi="ar-SA"/>
              </w:rPr>
              <w:t>具有质量体系认证证书、环境体系认证证书、职业健康安全认证证</w:t>
            </w:r>
            <w:r>
              <w:rPr>
                <w:rFonts w:hint="eastAsia" w:ascii="宋体" w:hAnsi="Times New Roman" w:eastAsia="宋体" w:cs="Times New Roman"/>
                <w:color w:val="auto"/>
                <w:sz w:val="24"/>
                <w:szCs w:val="24"/>
                <w:lang w:val="en-US" w:eastAsia="zh-CN" w:bidi="ar-SA"/>
              </w:rPr>
              <w:t>书，</w:t>
            </w:r>
            <w:r>
              <w:rPr>
                <w:rFonts w:hint="eastAsia" w:ascii="宋体" w:hAnsi="Times New Roman" w:eastAsia="宋体" w:cs="Times New Roman"/>
                <w:color w:val="auto"/>
                <w:sz w:val="24"/>
                <w:szCs w:val="24"/>
                <w:lang w:val="en-US" w:eastAsia="zh-Hans" w:bidi="ar-SA"/>
              </w:rPr>
              <w:t>每有</w:t>
            </w:r>
            <w:r>
              <w:rPr>
                <w:rFonts w:hint="eastAsia" w:ascii="宋体" w:hAnsi="Times New Roman" w:eastAsia="宋体" w:cs="Times New Roman"/>
                <w:color w:val="auto"/>
                <w:sz w:val="24"/>
                <w:szCs w:val="24"/>
                <w:lang w:val="en-US" w:eastAsia="zh-CN" w:bidi="ar-SA"/>
              </w:rPr>
              <w:t>1</w:t>
            </w:r>
            <w:r>
              <w:rPr>
                <w:rFonts w:hint="eastAsia" w:ascii="宋体" w:hAnsi="Times New Roman" w:eastAsia="宋体" w:cs="Times New Roman"/>
                <w:color w:val="auto"/>
                <w:sz w:val="24"/>
                <w:szCs w:val="24"/>
                <w:lang w:val="en-US" w:eastAsia="zh-Hans" w:bidi="ar-SA"/>
              </w:rPr>
              <w:t>个得</w:t>
            </w:r>
            <w:r>
              <w:rPr>
                <w:rFonts w:hint="eastAsia" w:ascii="宋体" w:cs="Times New Roman"/>
                <w:color w:val="auto"/>
                <w:sz w:val="24"/>
                <w:szCs w:val="24"/>
                <w:lang w:val="en-US" w:eastAsia="zh-CN" w:bidi="ar-SA"/>
              </w:rPr>
              <w:t>2</w:t>
            </w:r>
            <w:r>
              <w:rPr>
                <w:rFonts w:hint="eastAsia" w:ascii="宋体" w:hAnsi="Times New Roman" w:eastAsia="宋体" w:cs="Times New Roman"/>
                <w:color w:val="auto"/>
                <w:sz w:val="24"/>
                <w:szCs w:val="24"/>
                <w:lang w:val="en-US" w:eastAsia="zh-Hans" w:bidi="ar-SA"/>
              </w:rPr>
              <w:t>分</w:t>
            </w:r>
            <w:r>
              <w:rPr>
                <w:rFonts w:hint="eastAsia" w:ascii="宋体" w:hAnsi="Times New Roman" w:eastAsia="宋体" w:cs="Times New Roman"/>
                <w:color w:val="auto"/>
                <w:sz w:val="24"/>
                <w:szCs w:val="24"/>
                <w:lang w:val="en-US" w:eastAsia="zh-CN" w:bidi="ar-SA"/>
              </w:rPr>
              <w:t>，最高得</w:t>
            </w:r>
            <w:r>
              <w:rPr>
                <w:rFonts w:hint="eastAsia" w:ascii="宋体" w:cs="Times New Roman"/>
                <w:color w:val="auto"/>
                <w:sz w:val="24"/>
                <w:szCs w:val="24"/>
                <w:lang w:val="en-US" w:eastAsia="zh-CN" w:bidi="ar-SA"/>
              </w:rPr>
              <w:t>6</w:t>
            </w:r>
            <w:r>
              <w:rPr>
                <w:rFonts w:hint="eastAsia" w:ascii="宋体" w:hAnsi="Times New Roman" w:eastAsia="宋体" w:cs="Times New Roman"/>
                <w:color w:val="auto"/>
                <w:sz w:val="24"/>
                <w:szCs w:val="24"/>
                <w:lang w:val="en-US" w:eastAsia="zh-CN" w:bidi="ar-SA"/>
              </w:rPr>
              <w:t>分</w:t>
            </w:r>
            <w:r>
              <w:rPr>
                <w:rFonts w:hint="eastAsia" w:ascii="宋体" w:hAnsi="Times New Roman" w:eastAsia="宋体" w:cs="Times New Roman"/>
                <w:color w:val="auto"/>
                <w:sz w:val="24"/>
                <w:szCs w:val="24"/>
                <w:lang w:val="en-US" w:eastAsia="zh-Hans" w:bidi="ar-SA"/>
              </w:rPr>
              <w:t>，没有不得分。</w:t>
            </w:r>
          </w:p>
          <w:p>
            <w:pPr>
              <w:pStyle w:val="19"/>
              <w:adjustRightInd w:val="0"/>
              <w:snapToGrid w:val="0"/>
              <w:spacing w:line="300" w:lineRule="auto"/>
              <w:ind w:left="0" w:leftChars="0" w:firstLine="0" w:firstLineChars="0"/>
              <w:jc w:val="both"/>
              <w:rPr>
                <w:rFonts w:hint="eastAsia"/>
                <w:color w:val="auto"/>
                <w:sz w:val="24"/>
                <w:szCs w:val="24"/>
              </w:rPr>
            </w:pPr>
            <w:r>
              <w:rPr>
                <w:rFonts w:hint="eastAsia"/>
                <w:color w:val="auto"/>
                <w:sz w:val="24"/>
                <w:szCs w:val="24"/>
              </w:rPr>
              <w:t>注：</w:t>
            </w:r>
            <w:r>
              <w:rPr>
                <w:rFonts w:hint="eastAsia" w:hAnsi="宋体" w:cs="宋体"/>
                <w:color w:val="auto"/>
                <w:sz w:val="24"/>
                <w:szCs w:val="24"/>
              </w:rPr>
              <w:t>提供相关证明材料复印件并加盖供应商鲜章。</w:t>
            </w:r>
          </w:p>
        </w:tc>
        <w:tc>
          <w:tcPr>
            <w:tcW w:w="645" w:type="dxa"/>
            <w:tcBorders>
              <w:bottom w:val="single" w:color="auto" w:sz="4" w:space="0"/>
            </w:tcBorders>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858" w:type="dxa"/>
            <w:vMerge w:val="restart"/>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eastAsia="zh-CN"/>
              </w:rPr>
              <w:t>四</w:t>
            </w:r>
          </w:p>
        </w:tc>
        <w:tc>
          <w:tcPr>
            <w:tcW w:w="1774" w:type="dxa"/>
            <w:vMerge w:val="restart"/>
            <w:tcBorders>
              <w:right w:val="single" w:color="auto" w:sz="4" w:space="0"/>
            </w:tcBorders>
            <w:noWrap w:val="0"/>
            <w:vAlign w:val="center"/>
          </w:tcPr>
          <w:p>
            <w:pPr>
              <w:spacing w:line="360" w:lineRule="auto"/>
              <w:jc w:val="center"/>
              <w:rPr>
                <w:rFonts w:hint="eastAsia"/>
                <w:color w:val="auto"/>
                <w:sz w:val="24"/>
                <w:szCs w:val="24"/>
              </w:rPr>
            </w:pPr>
            <w:r>
              <w:rPr>
                <w:rFonts w:hint="eastAsia" w:ascii="宋体" w:hAnsi="宋体" w:cs="宋体"/>
                <w:color w:val="auto"/>
                <w:sz w:val="24"/>
              </w:rPr>
              <w:t>施工组织</w:t>
            </w:r>
          </w:p>
        </w:tc>
        <w:tc>
          <w:tcPr>
            <w:tcW w:w="586" w:type="dxa"/>
            <w:tcBorders>
              <w:left w:val="single" w:color="auto" w:sz="4" w:space="0"/>
            </w:tcBorders>
            <w:noWrap w:val="0"/>
            <w:vAlign w:val="center"/>
          </w:tcPr>
          <w:p>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12</w:t>
            </w:r>
          </w:p>
        </w:tc>
        <w:tc>
          <w:tcPr>
            <w:tcW w:w="5418" w:type="dxa"/>
            <w:tcBorders>
              <w:bottom w:val="single" w:color="auto" w:sz="4" w:space="0"/>
            </w:tcBorders>
            <w:noWrap w:val="0"/>
            <w:vAlign w:val="center"/>
          </w:tcPr>
          <w:p>
            <w:pPr>
              <w:spacing w:line="360" w:lineRule="auto"/>
              <w:rPr>
                <w:rFonts w:hint="eastAsia" w:ascii="宋体" w:hAnsi="宋体" w:cs="宋体"/>
                <w:color w:val="auto"/>
                <w:sz w:val="24"/>
                <w:lang w:eastAsia="zh-CN"/>
              </w:rPr>
            </w:pPr>
            <w:r>
              <w:rPr>
                <w:rFonts w:hint="eastAsia" w:ascii="宋体" w:hAnsi="宋体" w:cs="宋体"/>
                <w:color w:val="auto"/>
                <w:sz w:val="24"/>
              </w:rPr>
              <w:t>安全管理体系与措施</w:t>
            </w:r>
            <w:r>
              <w:rPr>
                <w:rFonts w:hint="eastAsia" w:ascii="宋体" w:hAnsi="宋体" w:cs="宋体"/>
                <w:color w:val="auto"/>
                <w:sz w:val="24"/>
                <w:lang w:eastAsia="zh-CN"/>
              </w:rPr>
              <w:t>：</w:t>
            </w:r>
          </w:p>
          <w:p>
            <w:pPr>
              <w:spacing w:line="360" w:lineRule="auto"/>
              <w:rPr>
                <w:rFonts w:hint="eastAsia"/>
                <w:color w:val="auto"/>
                <w:sz w:val="24"/>
                <w:szCs w:val="24"/>
              </w:rPr>
            </w:pPr>
            <w:r>
              <w:rPr>
                <w:rFonts w:hint="eastAsia" w:ascii="宋体" w:hAnsi="宋体" w:cs="宋体"/>
                <w:color w:val="auto"/>
                <w:sz w:val="24"/>
                <w:szCs w:val="24"/>
              </w:rPr>
              <w:t>根据供应商针对本项目所在地实际情况，提供安全管理体系与措施，至少包含：①制定完整的文明施工安全保障体系②制定完整的文明施工措施③安全教育及培训计划④安全保证措施及安全应急预案；内容齐全有针对性的得</w:t>
            </w:r>
            <w:r>
              <w:rPr>
                <w:rFonts w:hint="eastAsia" w:ascii="宋体" w:hAnsi="宋体" w:cs="宋体"/>
                <w:color w:val="auto"/>
                <w:sz w:val="24"/>
                <w:szCs w:val="24"/>
                <w:lang w:val="en-US" w:eastAsia="zh-CN"/>
              </w:rPr>
              <w:t>12</w:t>
            </w:r>
            <w:r>
              <w:rPr>
                <w:rFonts w:hint="eastAsia" w:ascii="宋体" w:hAnsi="宋体" w:cs="宋体"/>
                <w:color w:val="auto"/>
                <w:sz w:val="24"/>
                <w:szCs w:val="24"/>
              </w:rPr>
              <w:t>分，每有一项内容遗漏扣</w:t>
            </w:r>
            <w:r>
              <w:rPr>
                <w:rFonts w:hint="eastAsia" w:ascii="宋体" w:hAnsi="宋体" w:cs="宋体"/>
                <w:color w:val="auto"/>
                <w:sz w:val="24"/>
                <w:szCs w:val="24"/>
                <w:lang w:val="en-US" w:eastAsia="zh-CN"/>
              </w:rPr>
              <w:t>3</w:t>
            </w:r>
            <w:r>
              <w:rPr>
                <w:rFonts w:hint="eastAsia" w:ascii="宋体" w:hAnsi="宋体" w:cs="宋体"/>
                <w:color w:val="auto"/>
                <w:sz w:val="24"/>
                <w:szCs w:val="24"/>
              </w:rPr>
              <w:t>分，每有一项不足或存在的瑕疵或内容简略的扣1分，扣完为止。</w:t>
            </w:r>
          </w:p>
        </w:tc>
        <w:tc>
          <w:tcPr>
            <w:tcW w:w="645" w:type="dxa"/>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58" w:type="dxa"/>
            <w:vMerge w:val="continue"/>
            <w:tcBorders>
              <w:bottom w:val="single" w:color="auto" w:sz="4" w:space="0"/>
            </w:tcBorders>
            <w:noWrap w:val="0"/>
            <w:vAlign w:val="center"/>
          </w:tcPr>
          <w:p>
            <w:pPr>
              <w:spacing w:line="360" w:lineRule="auto"/>
              <w:jc w:val="center"/>
              <w:rPr>
                <w:rFonts w:hint="eastAsia"/>
                <w:color w:val="auto"/>
                <w:sz w:val="24"/>
                <w:szCs w:val="24"/>
              </w:rPr>
            </w:pPr>
          </w:p>
        </w:tc>
        <w:tc>
          <w:tcPr>
            <w:tcW w:w="1774" w:type="dxa"/>
            <w:vMerge w:val="continue"/>
            <w:tcBorders>
              <w:bottom w:val="single" w:color="auto" w:sz="4" w:space="0"/>
              <w:right w:val="single" w:color="auto" w:sz="4" w:space="0"/>
            </w:tcBorders>
            <w:noWrap w:val="0"/>
            <w:vAlign w:val="center"/>
          </w:tcPr>
          <w:p>
            <w:pPr>
              <w:spacing w:line="360" w:lineRule="auto"/>
              <w:jc w:val="center"/>
              <w:rPr>
                <w:color w:val="auto"/>
                <w:sz w:val="24"/>
                <w:szCs w:val="24"/>
              </w:rPr>
            </w:pPr>
          </w:p>
        </w:tc>
        <w:tc>
          <w:tcPr>
            <w:tcW w:w="586" w:type="dxa"/>
            <w:tcBorders>
              <w:top w:val="single" w:color="auto" w:sz="4" w:space="0"/>
              <w:left w:val="single" w:color="auto" w:sz="4" w:space="0"/>
              <w:bottom w:val="single" w:color="auto" w:sz="4" w:space="0"/>
            </w:tcBorders>
            <w:noWrap w:val="0"/>
            <w:vAlign w:val="center"/>
          </w:tcPr>
          <w:p>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12</w:t>
            </w:r>
          </w:p>
        </w:tc>
        <w:tc>
          <w:tcPr>
            <w:tcW w:w="5418" w:type="dxa"/>
            <w:noWrap w:val="0"/>
            <w:vAlign w:val="center"/>
          </w:tcPr>
          <w:p>
            <w:pPr>
              <w:spacing w:line="360" w:lineRule="auto"/>
              <w:rPr>
                <w:rFonts w:hint="eastAsia" w:ascii="宋体" w:hAnsi="宋体" w:cs="宋体"/>
                <w:color w:val="auto"/>
                <w:sz w:val="24"/>
                <w:lang w:eastAsia="zh-CN"/>
              </w:rPr>
            </w:pPr>
            <w:r>
              <w:rPr>
                <w:rFonts w:hint="eastAsia" w:ascii="宋体" w:hAnsi="宋体" w:cs="宋体"/>
                <w:color w:val="auto"/>
                <w:sz w:val="24"/>
              </w:rPr>
              <w:t>质量管理体系与措施</w:t>
            </w:r>
            <w:r>
              <w:rPr>
                <w:rFonts w:hint="eastAsia" w:ascii="宋体" w:hAnsi="宋体" w:cs="宋体"/>
                <w:color w:val="auto"/>
                <w:sz w:val="24"/>
                <w:lang w:eastAsia="zh-CN"/>
              </w:rPr>
              <w:t>：</w:t>
            </w:r>
          </w:p>
          <w:p>
            <w:pPr>
              <w:spacing w:line="360" w:lineRule="auto"/>
              <w:rPr>
                <w:rFonts w:hint="eastAsia" w:eastAsia="宋体"/>
                <w:color w:val="auto"/>
                <w:sz w:val="24"/>
                <w:szCs w:val="24"/>
                <w:lang w:eastAsia="zh-CN"/>
              </w:rPr>
            </w:pPr>
            <w:r>
              <w:rPr>
                <w:rFonts w:hint="eastAsia" w:ascii="宋体" w:hAnsi="宋体" w:cs="宋体"/>
                <w:color w:val="auto"/>
                <w:sz w:val="24"/>
              </w:rPr>
              <w:t>根据供应商针对本项目所在地实际情况，提供质量管理体系与措施，至少包含：</w:t>
            </w:r>
            <w:r>
              <w:rPr>
                <w:rFonts w:hint="eastAsia" w:ascii="宋体" w:hAnsi="宋体" w:cs="宋体"/>
                <w:color w:val="auto"/>
                <w:sz w:val="24"/>
                <w:lang w:bidi="ar"/>
              </w:rPr>
              <w:t>①制定完整的质量保证体系②确保项目质量的技术组织措施③针对质量目标及质量控制的保证措施④制定质量管理制度及检查制度等</w:t>
            </w:r>
            <w:r>
              <w:rPr>
                <w:rFonts w:hint="eastAsia" w:ascii="宋体" w:hAnsi="宋体" w:cs="宋体"/>
                <w:color w:val="auto"/>
                <w:sz w:val="24"/>
              </w:rPr>
              <w:t>；内容齐全有针对性的得</w:t>
            </w:r>
            <w:r>
              <w:rPr>
                <w:rFonts w:hint="eastAsia" w:ascii="宋体" w:hAnsi="宋体" w:cs="宋体"/>
                <w:color w:val="auto"/>
                <w:sz w:val="24"/>
                <w:lang w:val="en-US" w:eastAsia="zh-CN"/>
              </w:rPr>
              <w:t>12</w:t>
            </w:r>
            <w:r>
              <w:rPr>
                <w:rFonts w:hint="eastAsia" w:ascii="宋体" w:hAnsi="宋体" w:cs="宋体"/>
                <w:color w:val="auto"/>
                <w:sz w:val="24"/>
              </w:rPr>
              <w:t>分，每有一项内容遗漏扣</w:t>
            </w:r>
            <w:r>
              <w:rPr>
                <w:rFonts w:hint="eastAsia" w:ascii="宋体" w:hAnsi="宋体" w:cs="宋体"/>
                <w:color w:val="auto"/>
                <w:sz w:val="24"/>
                <w:lang w:val="en-US" w:eastAsia="zh-CN"/>
              </w:rPr>
              <w:t>3</w:t>
            </w:r>
            <w:r>
              <w:rPr>
                <w:rFonts w:hint="eastAsia" w:ascii="宋体" w:hAnsi="宋体" w:cs="宋体"/>
                <w:color w:val="auto"/>
                <w:sz w:val="24"/>
              </w:rPr>
              <w:t>分，每有一项不足或存在的瑕疵或内容简略的扣1分，扣完为止。</w:t>
            </w:r>
          </w:p>
        </w:tc>
        <w:tc>
          <w:tcPr>
            <w:tcW w:w="645" w:type="dxa"/>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58" w:type="dxa"/>
            <w:tcBorders>
              <w:top w:val="single" w:color="auto" w:sz="4" w:space="0"/>
              <w:bottom w:val="single" w:color="auto" w:sz="4" w:space="0"/>
            </w:tcBorders>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eastAsia="zh-CN"/>
              </w:rPr>
              <w:t>五</w:t>
            </w:r>
          </w:p>
        </w:tc>
        <w:tc>
          <w:tcPr>
            <w:tcW w:w="1774" w:type="dxa"/>
            <w:tcBorders>
              <w:top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auto"/>
                <w:sz w:val="24"/>
                <w:szCs w:val="24"/>
              </w:rPr>
            </w:pPr>
            <w:r>
              <w:rPr>
                <w:rFonts w:hint="eastAsia" w:ascii="宋体" w:hAnsi="宋体" w:cs="宋体"/>
                <w:color w:val="auto"/>
                <w:sz w:val="24"/>
                <w:szCs w:val="24"/>
              </w:rPr>
              <w:t>技术</w:t>
            </w:r>
          </w:p>
          <w:p>
            <w:pPr>
              <w:spacing w:line="360" w:lineRule="auto"/>
              <w:jc w:val="center"/>
              <w:rPr>
                <w:rFonts w:hint="eastAsia"/>
                <w:color w:val="auto"/>
                <w:sz w:val="24"/>
                <w:szCs w:val="24"/>
              </w:rPr>
            </w:pPr>
            <w:r>
              <w:rPr>
                <w:rFonts w:hint="eastAsia" w:ascii="宋体" w:hAnsi="宋体" w:cs="宋体"/>
                <w:color w:val="auto"/>
                <w:sz w:val="24"/>
                <w:szCs w:val="24"/>
              </w:rPr>
              <w:t>方案</w:t>
            </w:r>
          </w:p>
        </w:tc>
        <w:tc>
          <w:tcPr>
            <w:tcW w:w="586" w:type="dxa"/>
            <w:tcBorders>
              <w:top w:val="single" w:color="auto" w:sz="4" w:space="0"/>
              <w:left w:val="single" w:color="auto" w:sz="4" w:space="0"/>
              <w:bottom w:val="single" w:color="auto" w:sz="4" w:space="0"/>
            </w:tcBorders>
            <w:noWrap w:val="0"/>
            <w:vAlign w:val="center"/>
          </w:tcPr>
          <w:p>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16</w:t>
            </w:r>
          </w:p>
        </w:tc>
        <w:tc>
          <w:tcPr>
            <w:tcW w:w="5418" w:type="dxa"/>
            <w:noWrap w:val="0"/>
            <w:vAlign w:val="center"/>
          </w:tcPr>
          <w:p>
            <w:pPr>
              <w:widowControl/>
              <w:snapToGrid w:val="0"/>
              <w:spacing w:line="300" w:lineRule="auto"/>
              <w:jc w:val="left"/>
              <w:rPr>
                <w:rFonts w:hint="default" w:ascii="宋体" w:hAnsi="宋体" w:cs="宋体"/>
                <w:color w:val="auto"/>
                <w:sz w:val="24"/>
                <w:szCs w:val="24"/>
                <w:lang w:val="en-US" w:eastAsia="zh-CN"/>
              </w:rPr>
            </w:pPr>
            <w:r>
              <w:rPr>
                <w:rFonts w:hint="eastAsia" w:hAnsi="宋体"/>
                <w:bCs/>
                <w:color w:val="auto"/>
                <w:sz w:val="24"/>
                <w:szCs w:val="24"/>
                <w:lang w:eastAsia="zh-CN"/>
              </w:rPr>
              <w:tab/>
            </w:r>
            <w:r>
              <w:rPr>
                <w:rFonts w:hint="eastAsia" w:ascii="宋体" w:hAnsi="宋体" w:cs="宋体"/>
                <w:color w:val="auto"/>
                <w:sz w:val="24"/>
                <w:szCs w:val="24"/>
                <w:lang w:eastAsia="zh-CN"/>
              </w:rPr>
              <w:t>投标人编制的方案及各分项</w:t>
            </w:r>
            <w:r>
              <w:rPr>
                <w:rFonts w:hint="eastAsia" w:hAnsi="宋体" w:cs="宋体"/>
                <w:color w:val="auto"/>
                <w:sz w:val="24"/>
                <w:szCs w:val="24"/>
                <w:lang w:eastAsia="zh-CN"/>
              </w:rPr>
              <w:t>（包括但不限于</w:t>
            </w:r>
            <w:r>
              <w:rPr>
                <w:rFonts w:hint="eastAsia" w:ascii="宋体" w:hAnsi="宋体" w:cs="宋体"/>
                <w:color w:val="auto"/>
                <w:sz w:val="24"/>
              </w:rPr>
              <w:t>项目进度控制</w:t>
            </w:r>
            <w:r>
              <w:rPr>
                <w:rFonts w:hint="eastAsia" w:ascii="宋体" w:hAnsi="宋体" w:cs="宋体"/>
                <w:color w:val="auto"/>
                <w:sz w:val="24"/>
                <w:lang w:eastAsia="zh-CN"/>
              </w:rPr>
              <w:t>、</w:t>
            </w:r>
            <w:r>
              <w:rPr>
                <w:rFonts w:hint="eastAsia" w:ascii="宋体" w:hAnsi="宋体" w:cs="宋体"/>
                <w:color w:val="auto"/>
                <w:sz w:val="24"/>
              </w:rPr>
              <w:t>环境保护管理体系与措施</w:t>
            </w:r>
            <w:r>
              <w:rPr>
                <w:rFonts w:hint="eastAsia" w:ascii="宋体" w:hAnsi="宋体" w:cs="宋体"/>
                <w:color w:val="auto"/>
                <w:sz w:val="24"/>
                <w:lang w:eastAsia="zh-CN"/>
              </w:rPr>
              <w:t>、</w:t>
            </w:r>
            <w:r>
              <w:rPr>
                <w:rFonts w:hint="eastAsia" w:hAnsi="宋体" w:cs="宋体"/>
                <w:color w:val="auto"/>
                <w:sz w:val="24"/>
                <w:szCs w:val="24"/>
                <w:lang w:eastAsia="zh-CN"/>
              </w:rPr>
              <w:t>突发事件应急预案、停电切换方案等）</w:t>
            </w:r>
            <w:r>
              <w:rPr>
                <w:rFonts w:hint="eastAsia" w:ascii="宋体" w:hAnsi="宋体" w:cs="宋体"/>
                <w:color w:val="auto"/>
                <w:sz w:val="24"/>
                <w:szCs w:val="24"/>
                <w:lang w:eastAsia="zh-CN"/>
              </w:rPr>
              <w:t>的完整性、科学性、合理性、对本项目的响应程度和最大限度满足招标人的需求为标准进行综合评定，</w:t>
            </w:r>
            <w:r>
              <w:rPr>
                <w:rFonts w:hint="eastAsia" w:hAnsi="宋体" w:cs="宋体"/>
                <w:color w:val="auto"/>
                <w:sz w:val="24"/>
                <w:szCs w:val="24"/>
                <w:lang w:eastAsia="zh-CN"/>
              </w:rPr>
              <w:t>每项</w:t>
            </w:r>
            <w:r>
              <w:rPr>
                <w:rFonts w:hint="eastAsia" w:ascii="宋体" w:hAnsi="宋体" w:cs="宋体"/>
                <w:color w:val="auto"/>
                <w:sz w:val="24"/>
                <w:szCs w:val="24"/>
                <w:lang w:eastAsia="zh-CN"/>
              </w:rPr>
              <w:t>优得</w:t>
            </w:r>
            <w:r>
              <w:rPr>
                <w:rFonts w:hint="eastAsia" w:hAnsi="宋体" w:cs="宋体"/>
                <w:color w:val="auto"/>
                <w:sz w:val="24"/>
                <w:szCs w:val="24"/>
                <w:lang w:val="en-US" w:eastAsia="zh-CN"/>
              </w:rPr>
              <w:t>4</w:t>
            </w:r>
            <w:r>
              <w:rPr>
                <w:rFonts w:hint="eastAsia" w:ascii="宋体" w:hAnsi="宋体" w:cs="宋体"/>
                <w:color w:val="auto"/>
                <w:sz w:val="24"/>
                <w:szCs w:val="24"/>
                <w:lang w:eastAsia="zh-CN"/>
              </w:rPr>
              <w:t>分，良得</w:t>
            </w:r>
            <w:r>
              <w:rPr>
                <w:rFonts w:hint="eastAsia" w:hAnsi="宋体" w:cs="宋体"/>
                <w:color w:val="auto"/>
                <w:sz w:val="24"/>
                <w:szCs w:val="24"/>
                <w:lang w:val="en-US" w:eastAsia="zh-CN"/>
              </w:rPr>
              <w:t>2</w:t>
            </w:r>
            <w:r>
              <w:rPr>
                <w:rFonts w:hint="eastAsia" w:ascii="宋体" w:hAnsi="宋体" w:cs="宋体"/>
                <w:color w:val="auto"/>
                <w:sz w:val="24"/>
                <w:szCs w:val="24"/>
                <w:lang w:eastAsia="zh-CN"/>
              </w:rPr>
              <w:t>分，差</w:t>
            </w:r>
            <w:r>
              <w:rPr>
                <w:rFonts w:hint="eastAsia" w:hAnsi="宋体" w:cs="宋体"/>
                <w:color w:val="auto"/>
                <w:sz w:val="24"/>
                <w:szCs w:val="24"/>
                <w:lang w:eastAsia="zh-CN"/>
              </w:rPr>
              <w:t>得</w:t>
            </w:r>
            <w:r>
              <w:rPr>
                <w:rFonts w:hint="eastAsia" w:hAnsi="宋体" w:cs="宋体"/>
                <w:color w:val="auto"/>
                <w:sz w:val="24"/>
                <w:szCs w:val="24"/>
                <w:lang w:val="en-US" w:eastAsia="zh-CN"/>
              </w:rPr>
              <w:t>1分，</w:t>
            </w:r>
            <w:r>
              <w:rPr>
                <w:rFonts w:hint="eastAsia" w:ascii="宋体" w:hAnsi="宋体" w:cs="宋体"/>
                <w:color w:val="auto"/>
                <w:sz w:val="24"/>
                <w:szCs w:val="24"/>
                <w:lang w:eastAsia="zh-CN"/>
              </w:rPr>
              <w:t>不提供方案得</w:t>
            </w:r>
            <w:r>
              <w:rPr>
                <w:rFonts w:hint="eastAsia" w:hAnsi="宋体" w:cs="宋体"/>
                <w:color w:val="auto"/>
                <w:sz w:val="24"/>
                <w:szCs w:val="24"/>
                <w:lang w:val="en-US" w:eastAsia="zh-CN"/>
              </w:rPr>
              <w:t>0</w:t>
            </w:r>
            <w:r>
              <w:rPr>
                <w:rFonts w:hint="eastAsia" w:ascii="宋体" w:hAnsi="宋体" w:cs="宋体"/>
                <w:color w:val="auto"/>
                <w:sz w:val="24"/>
                <w:szCs w:val="24"/>
                <w:lang w:eastAsia="zh-CN"/>
              </w:rPr>
              <w:t>分</w:t>
            </w:r>
            <w:r>
              <w:rPr>
                <w:rFonts w:hint="eastAsia" w:hAnsi="宋体" w:cs="宋体"/>
                <w:color w:val="auto"/>
                <w:sz w:val="24"/>
                <w:szCs w:val="24"/>
                <w:lang w:eastAsia="zh-CN"/>
              </w:rPr>
              <w:t>，最多得</w:t>
            </w:r>
            <w:r>
              <w:rPr>
                <w:rFonts w:hint="eastAsia" w:hAnsi="宋体" w:cs="宋体"/>
                <w:color w:val="auto"/>
                <w:sz w:val="24"/>
                <w:szCs w:val="24"/>
                <w:lang w:val="en-US" w:eastAsia="zh-CN"/>
              </w:rPr>
              <w:t>16分。</w:t>
            </w:r>
          </w:p>
          <w:p>
            <w:pPr>
              <w:snapToGrid w:val="0"/>
              <w:spacing w:line="300" w:lineRule="auto"/>
              <w:ind w:left="372"/>
              <w:rPr>
                <w:rFonts w:hint="eastAsia" w:ascii="宋体" w:hAnsi="宋体" w:cs="宋体"/>
                <w:color w:val="auto"/>
                <w:sz w:val="24"/>
                <w:szCs w:val="24"/>
                <w:highlight w:val="yellow"/>
                <w:lang w:eastAsia="zh-CN"/>
              </w:rPr>
            </w:pPr>
            <w:r>
              <w:rPr>
                <w:rFonts w:hint="eastAsia" w:ascii="宋体" w:hAnsi="宋体" w:cs="宋体"/>
                <w:color w:val="auto"/>
                <w:sz w:val="24"/>
                <w:szCs w:val="24"/>
                <w:lang w:eastAsia="zh-CN"/>
              </w:rPr>
              <w:t>各量化等级的评价指标标准如下：</w:t>
            </w:r>
          </w:p>
          <w:p>
            <w:pPr>
              <w:autoSpaceDE w:val="0"/>
              <w:autoSpaceDN w:val="0"/>
              <w:adjustRightInd w:val="0"/>
              <w:snapToGrid w:val="0"/>
              <w:spacing w:line="30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优：项目服务实施方案结构严谨，对项目履约目标分析结合实际且针对性强，内容完整详实（能针对招标项目内容要求而细化制订）概况描述清晰。根据招标人要求的服务内容，提出维修维保难点、重点问题语言表述准确清晰，方案可行性高。</w:t>
            </w:r>
          </w:p>
          <w:p>
            <w:pPr>
              <w:snapToGrid w:val="0"/>
              <w:spacing w:line="30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良：项目概况较清晰，对维保维修服务方案有说明，维修维保技术措施基本满足招标人需求。</w:t>
            </w:r>
          </w:p>
          <w:p>
            <w:pPr>
              <w:tabs>
                <w:tab w:val="left" w:pos="1281"/>
              </w:tabs>
              <w:spacing w:line="360" w:lineRule="auto"/>
              <w:rPr>
                <w:rFonts w:hint="eastAsia" w:ascii="宋体" w:hAnsi="宋体" w:eastAsia="宋体"/>
                <w:bCs/>
                <w:color w:val="auto"/>
                <w:sz w:val="24"/>
                <w:szCs w:val="24"/>
                <w:lang w:eastAsia="zh-CN"/>
              </w:rPr>
            </w:pPr>
            <w:r>
              <w:rPr>
                <w:rFonts w:hint="eastAsia" w:ascii="宋体" w:hAnsi="宋体" w:cs="宋体"/>
                <w:color w:val="auto"/>
                <w:sz w:val="24"/>
                <w:szCs w:val="24"/>
                <w:lang w:eastAsia="zh-CN"/>
              </w:rPr>
              <w:t>差：有服务方案，但方案内容笼统（或者套用同类项目通用服务方案模板），针对性差，没有针对本项目细化制订，任务划分合理性差（甚至没有阶段任务划分），部分满足招标人需求。</w:t>
            </w:r>
          </w:p>
        </w:tc>
        <w:tc>
          <w:tcPr>
            <w:tcW w:w="645" w:type="dxa"/>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58" w:type="dxa"/>
            <w:tcBorders>
              <w:top w:val="single" w:color="auto" w:sz="4" w:space="0"/>
              <w:bottom w:val="single" w:color="auto" w:sz="4" w:space="0"/>
            </w:tcBorders>
            <w:noWrap w:val="0"/>
            <w:vAlign w:val="center"/>
          </w:tcPr>
          <w:p>
            <w:pPr>
              <w:spacing w:line="360" w:lineRule="auto"/>
              <w:jc w:val="center"/>
              <w:rPr>
                <w:rFonts w:hint="eastAsia"/>
                <w:color w:val="auto"/>
                <w:sz w:val="24"/>
                <w:szCs w:val="24"/>
                <w:lang w:eastAsia="zh-CN"/>
              </w:rPr>
            </w:pPr>
            <w:r>
              <w:rPr>
                <w:rFonts w:hint="eastAsia"/>
                <w:color w:val="auto"/>
                <w:sz w:val="24"/>
                <w:szCs w:val="24"/>
                <w:lang w:eastAsia="zh-CN"/>
              </w:rPr>
              <w:t>六</w:t>
            </w:r>
          </w:p>
        </w:tc>
        <w:tc>
          <w:tcPr>
            <w:tcW w:w="177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rPr>
            </w:pPr>
            <w:r>
              <w:rPr>
                <w:rFonts w:hint="eastAsia" w:ascii="宋体" w:hAnsi="宋体" w:cs="宋体"/>
                <w:color w:val="auto"/>
                <w:sz w:val="24"/>
              </w:rPr>
              <w:t>人员配置</w:t>
            </w:r>
          </w:p>
        </w:tc>
        <w:tc>
          <w:tcPr>
            <w:tcW w:w="586" w:type="dxa"/>
            <w:tcBorders>
              <w:top w:val="single" w:color="auto" w:sz="4" w:space="0"/>
              <w:left w:val="single" w:color="auto" w:sz="4" w:space="0"/>
              <w:bottom w:val="single" w:color="auto" w:sz="4" w:space="0"/>
            </w:tcBorders>
            <w:noWrap w:val="0"/>
            <w:vAlign w:val="center"/>
          </w:tcPr>
          <w:p>
            <w:pPr>
              <w:spacing w:line="360" w:lineRule="auto"/>
              <w:jc w:val="center"/>
              <w:rPr>
                <w:rFonts w:hint="default"/>
                <w:color w:val="auto"/>
                <w:sz w:val="24"/>
                <w:szCs w:val="24"/>
                <w:lang w:val="en-US" w:eastAsia="zh-CN"/>
              </w:rPr>
            </w:pPr>
            <w:r>
              <w:rPr>
                <w:rFonts w:hint="eastAsia"/>
                <w:color w:val="auto"/>
                <w:sz w:val="24"/>
                <w:szCs w:val="24"/>
                <w:lang w:val="en-US" w:eastAsia="zh-CN"/>
              </w:rPr>
              <w:t>4</w:t>
            </w:r>
          </w:p>
        </w:tc>
        <w:tc>
          <w:tcPr>
            <w:tcW w:w="5418" w:type="dxa"/>
            <w:noWrap w:val="0"/>
            <w:vAlign w:val="center"/>
          </w:tcPr>
          <w:p>
            <w:pPr>
              <w:pStyle w:val="9"/>
              <w:snapToGrid w:val="0"/>
              <w:spacing w:line="300" w:lineRule="auto"/>
              <w:rPr>
                <w:rFonts w:hint="eastAsia" w:hAnsi="宋体" w:cs="宋体"/>
                <w:color w:val="auto"/>
                <w:sz w:val="24"/>
                <w:szCs w:val="24"/>
              </w:rPr>
            </w:pPr>
            <w:r>
              <w:rPr>
                <w:rFonts w:hint="eastAsia" w:hAnsi="宋体" w:cs="宋体"/>
                <w:color w:val="auto"/>
                <w:sz w:val="24"/>
                <w:szCs w:val="24"/>
              </w:rPr>
              <w:t>1、供应商为本项目配备的项目经理（1名）具有中级及以上职称（</w:t>
            </w:r>
            <w:r>
              <w:rPr>
                <w:rFonts w:hAnsi="宋体" w:cs="宋体"/>
                <w:color w:val="auto"/>
                <w:sz w:val="24"/>
                <w:szCs w:val="24"/>
              </w:rPr>
              <w:t>电力相关专业</w:t>
            </w:r>
            <w:r>
              <w:rPr>
                <w:rFonts w:hint="eastAsia" w:hAnsi="宋体" w:cs="宋体"/>
                <w:color w:val="auto"/>
                <w:sz w:val="24"/>
                <w:szCs w:val="24"/>
              </w:rPr>
              <w:t>）的得</w:t>
            </w:r>
            <w:r>
              <w:rPr>
                <w:rFonts w:hint="eastAsia" w:hAnsi="宋体" w:cs="宋体"/>
                <w:color w:val="auto"/>
                <w:sz w:val="24"/>
                <w:szCs w:val="24"/>
                <w:lang w:val="en-US" w:eastAsia="zh-CN"/>
              </w:rPr>
              <w:t>1</w:t>
            </w:r>
            <w:r>
              <w:rPr>
                <w:rFonts w:hint="eastAsia" w:hAnsi="宋体" w:cs="宋体"/>
                <w:color w:val="auto"/>
                <w:sz w:val="24"/>
                <w:szCs w:val="24"/>
              </w:rPr>
              <w:t>分。</w:t>
            </w:r>
          </w:p>
          <w:p>
            <w:pPr>
              <w:pStyle w:val="9"/>
              <w:snapToGrid w:val="0"/>
              <w:spacing w:line="300" w:lineRule="auto"/>
              <w:rPr>
                <w:rFonts w:hint="eastAsia" w:hAnsi="宋体" w:cs="宋体"/>
                <w:color w:val="auto"/>
                <w:sz w:val="24"/>
                <w:szCs w:val="24"/>
              </w:rPr>
            </w:pPr>
            <w:r>
              <w:rPr>
                <w:rFonts w:hint="eastAsia" w:hAnsi="宋体" w:cs="宋体"/>
                <w:color w:val="auto"/>
                <w:sz w:val="24"/>
                <w:szCs w:val="24"/>
              </w:rPr>
              <w:t>2、供应商为本项目配备的技术负责人（1名）具有中级及以上职称（</w:t>
            </w:r>
            <w:r>
              <w:rPr>
                <w:rFonts w:hAnsi="宋体" w:cs="宋体"/>
                <w:color w:val="auto"/>
                <w:sz w:val="24"/>
                <w:szCs w:val="24"/>
              </w:rPr>
              <w:t>电力相关专业</w:t>
            </w:r>
            <w:r>
              <w:rPr>
                <w:rFonts w:hint="eastAsia" w:hAnsi="宋体" w:cs="宋体"/>
                <w:color w:val="auto"/>
                <w:sz w:val="24"/>
                <w:szCs w:val="24"/>
              </w:rPr>
              <w:t>）的得</w:t>
            </w:r>
            <w:r>
              <w:rPr>
                <w:rFonts w:hint="eastAsia" w:hAnsi="宋体" w:cs="宋体"/>
                <w:color w:val="auto"/>
                <w:sz w:val="24"/>
                <w:szCs w:val="24"/>
                <w:lang w:val="en-US" w:eastAsia="zh-CN"/>
              </w:rPr>
              <w:t>1</w:t>
            </w:r>
            <w:r>
              <w:rPr>
                <w:rFonts w:hint="eastAsia" w:hAnsi="宋体" w:cs="宋体"/>
                <w:color w:val="auto"/>
                <w:sz w:val="24"/>
                <w:szCs w:val="24"/>
              </w:rPr>
              <w:t>分。</w:t>
            </w:r>
          </w:p>
          <w:p>
            <w:pPr>
              <w:pStyle w:val="9"/>
              <w:snapToGrid w:val="0"/>
              <w:spacing w:line="300" w:lineRule="auto"/>
              <w:rPr>
                <w:rFonts w:hint="eastAsia" w:hAnsi="宋体" w:cs="宋体"/>
                <w:color w:val="auto"/>
                <w:sz w:val="24"/>
                <w:szCs w:val="24"/>
              </w:rPr>
            </w:pPr>
            <w:r>
              <w:rPr>
                <w:rFonts w:hint="eastAsia" w:hAnsi="宋体" w:cs="宋体"/>
                <w:color w:val="auto"/>
                <w:sz w:val="24"/>
                <w:szCs w:val="24"/>
              </w:rPr>
              <w:t>3、拟投入本项目的施工人员应具备特种作业操作证（电力相关）、高压电工作业证，每有一人得 0.5分，满分</w:t>
            </w:r>
            <w:r>
              <w:rPr>
                <w:rFonts w:hint="eastAsia" w:hAnsi="宋体" w:cs="宋体"/>
                <w:color w:val="auto"/>
                <w:sz w:val="24"/>
                <w:szCs w:val="24"/>
                <w:lang w:val="en-US" w:eastAsia="zh-CN"/>
              </w:rPr>
              <w:t>2</w:t>
            </w:r>
            <w:r>
              <w:rPr>
                <w:rFonts w:hint="eastAsia" w:hAnsi="宋体" w:cs="宋体"/>
                <w:color w:val="auto"/>
                <w:sz w:val="24"/>
                <w:szCs w:val="24"/>
              </w:rPr>
              <w:t>分。</w:t>
            </w:r>
          </w:p>
          <w:p>
            <w:pPr>
              <w:spacing w:line="360" w:lineRule="auto"/>
              <w:rPr>
                <w:rFonts w:hint="eastAsia" w:ascii="宋体" w:hAnsi="宋体"/>
                <w:bCs/>
                <w:color w:val="auto"/>
                <w:sz w:val="24"/>
                <w:szCs w:val="24"/>
              </w:rPr>
            </w:pPr>
            <w:r>
              <w:rPr>
                <w:rFonts w:hint="eastAsia" w:hAnsi="宋体" w:cs="宋体"/>
                <w:color w:val="auto"/>
                <w:sz w:val="24"/>
                <w:szCs w:val="24"/>
              </w:rPr>
              <w:t>注：提供相关证件复印件盖供应商鲜章，以上人员不重复计分。</w:t>
            </w:r>
          </w:p>
        </w:tc>
        <w:tc>
          <w:tcPr>
            <w:tcW w:w="645" w:type="dxa"/>
            <w:noWrap w:val="0"/>
            <w:vAlign w:val="top"/>
          </w:tcPr>
          <w:p>
            <w:pPr>
              <w:spacing w:line="360" w:lineRule="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58" w:type="dxa"/>
            <w:tcBorders>
              <w:top w:val="single" w:color="auto" w:sz="4" w:space="0"/>
              <w:bottom w:val="single" w:color="auto" w:sz="4" w:space="0"/>
            </w:tcBorders>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eastAsia="zh-CN"/>
              </w:rPr>
              <w:t>七</w:t>
            </w:r>
          </w:p>
        </w:tc>
        <w:tc>
          <w:tcPr>
            <w:tcW w:w="177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rPr>
            </w:pPr>
            <w:r>
              <w:rPr>
                <w:rFonts w:hint="eastAsia"/>
                <w:color w:val="auto"/>
                <w:sz w:val="24"/>
                <w:szCs w:val="24"/>
              </w:rPr>
              <w:t>供货响应</w:t>
            </w:r>
          </w:p>
          <w:p>
            <w:pPr>
              <w:spacing w:line="360" w:lineRule="auto"/>
              <w:jc w:val="center"/>
              <w:rPr>
                <w:rFonts w:hint="eastAsia"/>
                <w:color w:val="auto"/>
                <w:sz w:val="24"/>
                <w:szCs w:val="24"/>
              </w:rPr>
            </w:pPr>
            <w:r>
              <w:rPr>
                <w:rFonts w:hint="eastAsia"/>
                <w:color w:val="auto"/>
                <w:sz w:val="24"/>
                <w:szCs w:val="24"/>
              </w:rPr>
              <w:t>及售后服务</w:t>
            </w:r>
          </w:p>
        </w:tc>
        <w:tc>
          <w:tcPr>
            <w:tcW w:w="586" w:type="dxa"/>
            <w:tcBorders>
              <w:top w:val="single" w:color="auto" w:sz="4" w:space="0"/>
              <w:left w:val="single" w:color="auto" w:sz="4" w:space="0"/>
              <w:bottom w:val="single" w:color="auto" w:sz="4" w:space="0"/>
            </w:tcBorders>
            <w:noWrap w:val="0"/>
            <w:vAlign w:val="center"/>
          </w:tcPr>
          <w:p>
            <w:pPr>
              <w:spacing w:line="360" w:lineRule="auto"/>
              <w:jc w:val="center"/>
              <w:rPr>
                <w:rFonts w:hint="eastAsia" w:eastAsia="宋体"/>
                <w:color w:val="auto"/>
                <w:sz w:val="24"/>
                <w:szCs w:val="24"/>
                <w:lang w:eastAsia="zh-CN"/>
              </w:rPr>
            </w:pPr>
            <w:r>
              <w:rPr>
                <w:rFonts w:hint="eastAsia"/>
                <w:color w:val="auto"/>
                <w:sz w:val="24"/>
                <w:szCs w:val="24"/>
                <w:lang w:val="en-US" w:eastAsia="zh-CN"/>
              </w:rPr>
              <w:t>6</w:t>
            </w:r>
          </w:p>
        </w:tc>
        <w:tc>
          <w:tcPr>
            <w:tcW w:w="5418" w:type="dxa"/>
            <w:noWrap w:val="0"/>
            <w:vAlign w:val="center"/>
          </w:tcPr>
          <w:p>
            <w:pPr>
              <w:spacing w:line="360" w:lineRule="auto"/>
              <w:rPr>
                <w:rFonts w:hint="eastAsia" w:eastAsia="宋体"/>
                <w:bCs/>
                <w:color w:val="auto"/>
                <w:sz w:val="24"/>
                <w:szCs w:val="24"/>
                <w:lang w:eastAsia="zh-CN"/>
              </w:rPr>
            </w:pPr>
            <w:r>
              <w:rPr>
                <w:rFonts w:hint="eastAsia" w:ascii="宋体" w:hAnsi="宋体"/>
                <w:bCs/>
                <w:color w:val="auto"/>
                <w:sz w:val="24"/>
                <w:szCs w:val="24"/>
              </w:rPr>
              <w:t>投标人列出现阶段加工设备及产能情况，根据以上实际情况评审专家从供货产品从生产到供货期间的排产、生产、及供货的进度安排的合理性及对及时供货的具体措施，特别是对突发事件的保供措施及售后服务</w:t>
            </w:r>
            <w:r>
              <w:rPr>
                <w:rFonts w:hint="eastAsia" w:hAnsi="宋体"/>
                <w:bCs/>
                <w:color w:val="auto"/>
                <w:sz w:val="24"/>
                <w:szCs w:val="24"/>
                <w:lang w:eastAsia="zh-CN"/>
              </w:rPr>
              <w:t>，售后</w:t>
            </w:r>
            <w:r>
              <w:rPr>
                <w:rFonts w:hint="eastAsia" w:ascii="宋体" w:hAnsi="宋体" w:cs="宋体"/>
                <w:color w:val="auto"/>
                <w:sz w:val="24"/>
                <w:szCs w:val="24"/>
                <w:lang w:eastAsia="zh-CN"/>
              </w:rPr>
              <w:t>响应时间等</w:t>
            </w:r>
            <w:r>
              <w:rPr>
                <w:rFonts w:hint="eastAsia" w:ascii="宋体" w:hAnsi="宋体"/>
                <w:bCs/>
                <w:color w:val="auto"/>
                <w:sz w:val="24"/>
                <w:szCs w:val="24"/>
              </w:rPr>
              <w:t>；优得</w:t>
            </w:r>
            <w:r>
              <w:rPr>
                <w:rFonts w:hint="eastAsia" w:hAnsi="宋体"/>
                <w:bCs/>
                <w:color w:val="auto"/>
                <w:sz w:val="24"/>
                <w:szCs w:val="24"/>
                <w:lang w:val="en-US" w:eastAsia="zh-CN"/>
              </w:rPr>
              <w:t>6</w:t>
            </w:r>
            <w:r>
              <w:rPr>
                <w:rFonts w:hint="eastAsia" w:ascii="宋体" w:hAnsi="宋体"/>
                <w:bCs/>
                <w:color w:val="auto"/>
                <w:sz w:val="24"/>
                <w:szCs w:val="24"/>
              </w:rPr>
              <w:t>分，良得</w:t>
            </w:r>
            <w:r>
              <w:rPr>
                <w:rFonts w:hint="eastAsia" w:hAnsi="宋体"/>
                <w:bCs/>
                <w:color w:val="auto"/>
                <w:sz w:val="24"/>
                <w:szCs w:val="24"/>
                <w:lang w:val="en-US" w:eastAsia="zh-CN"/>
              </w:rPr>
              <w:t>3</w:t>
            </w:r>
            <w:r>
              <w:rPr>
                <w:rFonts w:hint="eastAsia" w:ascii="宋体" w:hAnsi="宋体"/>
                <w:bCs/>
                <w:color w:val="auto"/>
                <w:sz w:val="24"/>
                <w:szCs w:val="24"/>
              </w:rPr>
              <w:t>分，差不得分</w:t>
            </w:r>
            <w:r>
              <w:rPr>
                <w:rFonts w:hint="eastAsia" w:hAnsi="宋体"/>
                <w:bCs/>
                <w:color w:val="auto"/>
                <w:sz w:val="24"/>
                <w:szCs w:val="24"/>
                <w:lang w:eastAsia="zh-CN"/>
              </w:rPr>
              <w:t>。</w:t>
            </w:r>
          </w:p>
        </w:tc>
        <w:tc>
          <w:tcPr>
            <w:tcW w:w="645" w:type="dxa"/>
            <w:noWrap w:val="0"/>
            <w:vAlign w:val="top"/>
          </w:tcPr>
          <w:p>
            <w:pPr>
              <w:spacing w:line="360" w:lineRule="auto"/>
              <w:rPr>
                <w:color w:val="auto"/>
                <w:sz w:val="24"/>
                <w:szCs w:val="24"/>
              </w:rPr>
            </w:pPr>
          </w:p>
        </w:tc>
      </w:tr>
    </w:tbl>
    <w:p>
      <w:pPr>
        <w:spacing w:line="360" w:lineRule="auto"/>
        <w:ind w:firstLine="480" w:firstLineChars="200"/>
        <w:rPr>
          <w:rFonts w:ascii="宋体" w:hAnsi="宋体"/>
          <w:bCs/>
          <w:color w:val="auto"/>
          <w:sz w:val="24"/>
        </w:rPr>
      </w:pPr>
    </w:p>
    <w:p>
      <w:pPr>
        <w:pageBreakBefore w:val="0"/>
        <w:kinsoku/>
        <w:wordWrap/>
        <w:overflowPunct/>
        <w:topLinePunct w:val="0"/>
        <w:bidi w:val="0"/>
        <w:spacing w:line="240" w:lineRule="auto"/>
        <w:jc w:val="left"/>
        <w:rPr>
          <w:rFonts w:hint="eastAsia" w:hAnsi="宋体"/>
          <w:color w:val="auto"/>
          <w:sz w:val="24"/>
          <w:szCs w:val="22"/>
        </w:rPr>
      </w:pPr>
      <w:r>
        <w:rPr>
          <w:rFonts w:hint="eastAsia" w:hAnsi="宋体"/>
          <w:color w:val="auto"/>
          <w:sz w:val="24"/>
          <w:szCs w:val="22"/>
        </w:rPr>
        <w:t>注：评分的取值按四舍五入法，保留小数点后两位。</w:t>
      </w:r>
    </w:p>
    <w:p>
      <w:pPr>
        <w:pageBreakBefore w:val="0"/>
        <w:kinsoku/>
        <w:wordWrap/>
        <w:overflowPunct/>
        <w:topLinePunct w:val="0"/>
        <w:bidi w:val="0"/>
        <w:spacing w:line="240" w:lineRule="auto"/>
        <w:ind w:firstLine="480" w:firstLineChars="200"/>
        <w:rPr>
          <w:rFonts w:hint="eastAsia"/>
          <w:color w:val="auto"/>
          <w:sz w:val="24"/>
        </w:rPr>
      </w:pPr>
    </w:p>
    <w:p>
      <w:pPr>
        <w:keepNext w:val="0"/>
        <w:keepLines w:val="0"/>
        <w:widowControl/>
        <w:suppressLineNumbers w:val="0"/>
        <w:jc w:val="left"/>
        <w:rPr>
          <w:rFonts w:hint="eastAsia" w:ascii="宋体" w:hAnsi="宋体" w:eastAsia="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keepNext w:val="0"/>
        <w:keepLines w:val="0"/>
        <w:widowControl/>
        <w:suppressLineNumbers w:val="0"/>
        <w:jc w:val="left"/>
        <w:rPr>
          <w:rFonts w:hint="eastAsia" w:ascii="宋体" w:hAnsi="宋体" w:cs="宋体"/>
          <w:color w:val="auto"/>
          <w:kern w:val="0"/>
          <w:sz w:val="28"/>
          <w:szCs w:val="28"/>
          <w:lang w:val="en-US" w:eastAsia="zh-CN" w:bidi="ar"/>
        </w:rPr>
      </w:pPr>
    </w:p>
    <w:p>
      <w:pPr>
        <w:pStyle w:val="10"/>
        <w:rPr>
          <w:rFonts w:hint="eastAsia" w:ascii="宋体" w:hAnsi="宋体" w:eastAsia="宋体" w:cs="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16272"/>
    <w:multiLevelType w:val="singleLevel"/>
    <w:tmpl w:val="52F162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00000"/>
    <w:rsid w:val="04196ACC"/>
    <w:rsid w:val="048D12D2"/>
    <w:rsid w:val="053242B0"/>
    <w:rsid w:val="0541053E"/>
    <w:rsid w:val="06314567"/>
    <w:rsid w:val="0648365F"/>
    <w:rsid w:val="06652463"/>
    <w:rsid w:val="077F3B24"/>
    <w:rsid w:val="07816B6B"/>
    <w:rsid w:val="0C9F2264"/>
    <w:rsid w:val="0DA43A26"/>
    <w:rsid w:val="0E8D5DD4"/>
    <w:rsid w:val="10861954"/>
    <w:rsid w:val="11191FB4"/>
    <w:rsid w:val="11DD55A3"/>
    <w:rsid w:val="13210B00"/>
    <w:rsid w:val="14A07B27"/>
    <w:rsid w:val="168275F4"/>
    <w:rsid w:val="19687A5A"/>
    <w:rsid w:val="1B157B5C"/>
    <w:rsid w:val="1CDD17D8"/>
    <w:rsid w:val="1F170346"/>
    <w:rsid w:val="220E6EDC"/>
    <w:rsid w:val="23766976"/>
    <w:rsid w:val="24B86C56"/>
    <w:rsid w:val="24FF7B67"/>
    <w:rsid w:val="25974AD6"/>
    <w:rsid w:val="2879797C"/>
    <w:rsid w:val="28EF0F65"/>
    <w:rsid w:val="2ED743AA"/>
    <w:rsid w:val="2F7E20F5"/>
    <w:rsid w:val="30986203"/>
    <w:rsid w:val="31F1168B"/>
    <w:rsid w:val="31F249B7"/>
    <w:rsid w:val="330C3080"/>
    <w:rsid w:val="337F35CF"/>
    <w:rsid w:val="347B3E71"/>
    <w:rsid w:val="353D6538"/>
    <w:rsid w:val="379E40CE"/>
    <w:rsid w:val="38023997"/>
    <w:rsid w:val="38A25486"/>
    <w:rsid w:val="3C626B42"/>
    <w:rsid w:val="3CB46D7D"/>
    <w:rsid w:val="3FA558FE"/>
    <w:rsid w:val="41656898"/>
    <w:rsid w:val="41AD7FCB"/>
    <w:rsid w:val="41F34BA3"/>
    <w:rsid w:val="44FC6D46"/>
    <w:rsid w:val="46B36B53"/>
    <w:rsid w:val="46D91553"/>
    <w:rsid w:val="47467033"/>
    <w:rsid w:val="48291F0B"/>
    <w:rsid w:val="4921031A"/>
    <w:rsid w:val="49995158"/>
    <w:rsid w:val="4A8F0F6B"/>
    <w:rsid w:val="4D5C614D"/>
    <w:rsid w:val="4D7049C3"/>
    <w:rsid w:val="4DA2396A"/>
    <w:rsid w:val="51B9378B"/>
    <w:rsid w:val="51EB0AF5"/>
    <w:rsid w:val="53EE7333"/>
    <w:rsid w:val="57723665"/>
    <w:rsid w:val="57F104D0"/>
    <w:rsid w:val="58553B35"/>
    <w:rsid w:val="58FF139D"/>
    <w:rsid w:val="5AB741B0"/>
    <w:rsid w:val="5B32097F"/>
    <w:rsid w:val="5E6D5AC3"/>
    <w:rsid w:val="5F1020E1"/>
    <w:rsid w:val="61AB0DDF"/>
    <w:rsid w:val="61D11D6D"/>
    <w:rsid w:val="6353259C"/>
    <w:rsid w:val="63C34959"/>
    <w:rsid w:val="63CB3C1E"/>
    <w:rsid w:val="63E3362B"/>
    <w:rsid w:val="645D5EF8"/>
    <w:rsid w:val="64D62737"/>
    <w:rsid w:val="65340C45"/>
    <w:rsid w:val="65401246"/>
    <w:rsid w:val="68B866FF"/>
    <w:rsid w:val="69197CA1"/>
    <w:rsid w:val="6AEB755E"/>
    <w:rsid w:val="6B623F53"/>
    <w:rsid w:val="6C922387"/>
    <w:rsid w:val="6D550310"/>
    <w:rsid w:val="6E9F0181"/>
    <w:rsid w:val="6FF9723D"/>
    <w:rsid w:val="721E08AD"/>
    <w:rsid w:val="73D37D64"/>
    <w:rsid w:val="743106D8"/>
    <w:rsid w:val="75D734B1"/>
    <w:rsid w:val="77523543"/>
    <w:rsid w:val="78D669C4"/>
    <w:rsid w:val="7C6F05E1"/>
    <w:rsid w:val="7C987D1F"/>
    <w:rsid w:val="7C99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3"/>
    <w:basedOn w:val="1"/>
    <w:next w:val="7"/>
    <w:qFormat/>
    <w:uiPriority w:val="0"/>
    <w:pPr>
      <w:keepNext/>
      <w:keepLines/>
      <w:spacing w:before="260" w:beforeLines="0" w:after="260" w:afterLines="0" w:line="415" w:lineRule="auto"/>
      <w:outlineLvl w:val="2"/>
    </w:pPr>
    <w:rPr>
      <w:rFonts w:ascii="Times New Roman"/>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ind w:firstLine="630"/>
    </w:pPr>
    <w:rPr>
      <w:sz w:val="32"/>
      <w:szCs w:val="20"/>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rPr>
      <w:sz w:val="18"/>
      <w:szCs w:val="20"/>
    </w:rPr>
  </w:style>
  <w:style w:type="paragraph" w:styleId="9">
    <w:name w:val="Plain Text"/>
    <w:basedOn w:val="1"/>
    <w:qFormat/>
    <w:uiPriority w:val="0"/>
    <w:pPr>
      <w:autoSpaceDE w:val="0"/>
      <w:autoSpaceDN w:val="0"/>
      <w:adjustRightInd w:val="0"/>
    </w:pPr>
    <w:rPr>
      <w:rFonts w:ascii="宋体" w:hAnsi="Tms Rmn"/>
      <w:kern w:val="0"/>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3"/>
    <w:qFormat/>
    <w:uiPriority w:val="0"/>
    <w:pPr>
      <w:spacing w:line="312" w:lineRule="atLeast"/>
      <w:ind w:leftChars="0" w:firstLine="420"/>
      <w:textAlignment w:val="baseline"/>
    </w:pPr>
    <w:rPr>
      <w:rFonts w:hint="eastAsi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4479</Words>
  <Characters>4569</Characters>
  <Lines>0</Lines>
  <Paragraphs>0</Paragraphs>
  <TotalTime>7</TotalTime>
  <ScaleCrop>false</ScaleCrop>
  <LinksUpToDate>false</LinksUpToDate>
  <CharactersWithSpaces>4609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2023-04-18T12:22:00Z</dcterms:created>
  <dc:creator>Administrator</dc:creator>
  <cp:lastModifiedBy>曾铃杰</cp:lastModifiedBy>
  <dcterms:modified xsi:type="dcterms:W3CDTF">2023-04-21T07:18:43Z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BF3DFD43A5AD4108AB5837A7CCE1495F_13</vt:lpwstr>
  </property>
</Properties>
</file>