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670408">
      <w:pPr>
        <w:jc w:val="center"/>
        <w:rPr>
          <w:rFonts w:ascii="华文中宋" w:eastAsia="华文中宋" w:hAnsi="华文中宋"/>
          <w:b/>
          <w:sz w:val="44"/>
          <w:szCs w:val="44"/>
        </w:rPr>
      </w:pPr>
      <w:r w:rsidRPr="00670408">
        <w:rPr>
          <w:rFonts w:ascii="华文中宋" w:eastAsia="华文中宋" w:hAnsi="华文中宋" w:hint="eastAsia"/>
          <w:b/>
          <w:sz w:val="44"/>
          <w:szCs w:val="44"/>
        </w:rPr>
        <w:t>产科生物护脐带</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670408">
        <w:rPr>
          <w:rFonts w:ascii="华文中宋" w:eastAsia="华文中宋" w:hAnsi="华文中宋" w:cs="Tahoma"/>
          <w:b/>
          <w:color w:val="000000"/>
          <w:sz w:val="32"/>
          <w:szCs w:val="32"/>
          <w:shd w:val="clear" w:color="auto" w:fill="FFFFFF"/>
        </w:rPr>
        <w:t>713</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670408">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670408">
        <w:rPr>
          <w:rFonts w:ascii="华文中宋" w:eastAsia="华文中宋" w:hAnsi="华文中宋"/>
          <w:b/>
          <w:sz w:val="32"/>
          <w:szCs w:val="32"/>
        </w:rPr>
        <w:t>7</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245F3F">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70408" w:rsidRPr="00670408">
        <w:rPr>
          <w:rFonts w:ascii="宋体" w:hAnsi="宋体" w:hint="eastAsia"/>
          <w:b/>
          <w:bCs/>
          <w:sz w:val="24"/>
        </w:rPr>
        <w:t>产科生物护脐带</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670408">
        <w:rPr>
          <w:rFonts w:ascii="宋体" w:hAnsi="宋体"/>
          <w:b/>
          <w:bCs/>
          <w:sz w:val="24"/>
        </w:rPr>
        <w:t>7</w:t>
      </w:r>
      <w:r w:rsidR="000765EC">
        <w:rPr>
          <w:rFonts w:ascii="宋体" w:hAnsi="宋体"/>
          <w:b/>
          <w:bCs/>
          <w:sz w:val="24"/>
        </w:rPr>
        <w:t>13</w:t>
      </w:r>
      <w:r w:rsidR="006B062D" w:rsidRPr="006B062D">
        <w:rPr>
          <w:rFonts w:ascii="宋体" w:hAnsi="宋体"/>
          <w:b/>
          <w:bCs/>
          <w:sz w:val="24"/>
        </w:rPr>
        <w:t>-0</w:t>
      </w:r>
      <w:r w:rsidR="00670408">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493" w:type="dxa"/>
        <w:jc w:val="center"/>
        <w:tblLayout w:type="fixed"/>
        <w:tblLook w:val="04A0" w:firstRow="1" w:lastRow="0" w:firstColumn="1" w:lastColumn="0" w:noHBand="0" w:noVBand="1"/>
      </w:tblPr>
      <w:tblGrid>
        <w:gridCol w:w="846"/>
        <w:gridCol w:w="1276"/>
        <w:gridCol w:w="1912"/>
        <w:gridCol w:w="885"/>
        <w:gridCol w:w="1455"/>
        <w:gridCol w:w="2126"/>
        <w:gridCol w:w="993"/>
      </w:tblGrid>
      <w:tr w:rsidR="00670408" w:rsidTr="00670408">
        <w:trPr>
          <w:trHeight w:val="706"/>
          <w:jc w:val="center"/>
        </w:trPr>
        <w:tc>
          <w:tcPr>
            <w:tcW w:w="84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27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1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8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45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2126" w:type="dxa"/>
            <w:vAlign w:val="center"/>
          </w:tcPr>
          <w:p w:rsidR="00670408" w:rsidRDefault="0067040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3"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70408" w:rsidTr="00670408">
        <w:trPr>
          <w:trHeight w:val="838"/>
          <w:jc w:val="center"/>
        </w:trPr>
        <w:tc>
          <w:tcPr>
            <w:tcW w:w="84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27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12" w:type="dxa"/>
            <w:vAlign w:val="center"/>
          </w:tcPr>
          <w:p w:rsidR="00670408" w:rsidRDefault="00670408">
            <w:pPr>
              <w:autoSpaceDE w:val="0"/>
              <w:autoSpaceDN w:val="0"/>
              <w:adjustRightInd w:val="0"/>
              <w:jc w:val="center"/>
              <w:rPr>
                <w:rFonts w:ascii="宋体" w:hAnsi="宋体"/>
                <w:color w:val="000000"/>
                <w:kern w:val="0"/>
                <w:sz w:val="24"/>
              </w:rPr>
            </w:pPr>
            <w:r w:rsidRPr="00670408">
              <w:rPr>
                <w:rFonts w:ascii="宋体" w:hAnsi="宋体" w:hint="eastAsia"/>
                <w:color w:val="000000"/>
                <w:kern w:val="0"/>
                <w:sz w:val="24"/>
              </w:rPr>
              <w:t>生物护脐带</w:t>
            </w:r>
          </w:p>
        </w:tc>
        <w:tc>
          <w:tcPr>
            <w:tcW w:w="885"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片</w:t>
            </w:r>
          </w:p>
        </w:tc>
        <w:tc>
          <w:tcPr>
            <w:tcW w:w="1455"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212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993"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产科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086345">
        <w:rPr>
          <w:rFonts w:ascii="宋体" w:hAnsi="宋体"/>
          <w:kern w:val="0"/>
          <w:sz w:val="24"/>
        </w:rPr>
        <w:t>8</w:t>
      </w:r>
      <w:r>
        <w:rPr>
          <w:rFonts w:ascii="宋体" w:hAnsi="宋体" w:hint="eastAsia"/>
          <w:kern w:val="0"/>
          <w:sz w:val="24"/>
        </w:rPr>
        <w:t>月</w:t>
      </w:r>
      <w:r w:rsidR="00086345">
        <w:rPr>
          <w:rFonts w:ascii="宋体" w:hAnsi="宋体"/>
          <w:kern w:val="0"/>
          <w:sz w:val="24"/>
        </w:rPr>
        <w:t>11</w:t>
      </w:r>
      <w:r>
        <w:rPr>
          <w:rFonts w:ascii="宋体" w:hAnsi="宋体" w:hint="eastAsia"/>
          <w:kern w:val="0"/>
          <w:sz w:val="24"/>
        </w:rPr>
        <w:t>日至2023年</w:t>
      </w:r>
      <w:r w:rsidR="00086345">
        <w:rPr>
          <w:rFonts w:ascii="宋体" w:hAnsi="宋体"/>
          <w:kern w:val="0"/>
          <w:sz w:val="24"/>
        </w:rPr>
        <w:t>8</w:t>
      </w:r>
      <w:r>
        <w:rPr>
          <w:rFonts w:ascii="宋体" w:hAnsi="宋体" w:hint="eastAsia"/>
          <w:kern w:val="0"/>
          <w:sz w:val="24"/>
        </w:rPr>
        <w:t>月</w:t>
      </w:r>
      <w:r w:rsidR="00086345">
        <w:rPr>
          <w:rFonts w:ascii="宋体" w:hAnsi="宋体"/>
          <w:kern w:val="0"/>
          <w:sz w:val="24"/>
        </w:rPr>
        <w:t>17</w:t>
      </w:r>
      <w:r>
        <w:rPr>
          <w:rFonts w:ascii="宋体" w:hAnsi="宋体" w:hint="eastAsia"/>
          <w:kern w:val="0"/>
          <w:sz w:val="24"/>
        </w:rPr>
        <w:t>日（五个工作日，每天上午8:00-12:00，下午</w:t>
      </w:r>
      <w:r>
        <w:rPr>
          <w:rFonts w:ascii="宋体" w:hAnsi="宋体" w:hint="eastAsia"/>
          <w:kern w:val="0"/>
          <w:sz w:val="24"/>
        </w:rPr>
        <w:lastRenderedPageBreak/>
        <w:t>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086345">
        <w:rPr>
          <w:rFonts w:ascii="宋体" w:hAnsi="宋体"/>
          <w:kern w:val="0"/>
          <w:sz w:val="24"/>
          <w:u w:val="single"/>
        </w:rPr>
        <w:t>8</w:t>
      </w:r>
      <w:r>
        <w:rPr>
          <w:rFonts w:ascii="宋体" w:hAnsi="宋体" w:hint="eastAsia"/>
          <w:kern w:val="0"/>
          <w:sz w:val="24"/>
          <w:u w:val="single"/>
        </w:rPr>
        <w:t>月</w:t>
      </w:r>
      <w:r w:rsidR="00086345">
        <w:rPr>
          <w:rFonts w:ascii="宋体" w:hAnsi="宋体"/>
          <w:kern w:val="0"/>
          <w:sz w:val="24"/>
          <w:u w:val="single"/>
        </w:rPr>
        <w:t>21</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086345">
        <w:rPr>
          <w:rFonts w:ascii="宋体" w:hAnsi="宋体" w:hint="eastAsia"/>
          <w:kern w:val="0"/>
          <w:sz w:val="24"/>
        </w:rPr>
        <w:t>/胡</w:t>
      </w:r>
      <w:r w:rsidR="00086345">
        <w:rPr>
          <w:rFonts w:ascii="宋体" w:hAnsi="宋体"/>
          <w:kern w:val="0"/>
          <w:sz w:val="24"/>
        </w:rPr>
        <w:t>老师</w:t>
      </w:r>
      <w:r>
        <w:rPr>
          <w:rFonts w:ascii="宋体" w:hAnsi="宋体" w:hint="eastAsia"/>
          <w:kern w:val="0"/>
          <w:sz w:val="24"/>
        </w:rPr>
        <w:t>（采购办公室）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5" w:name="_Toc134536602"/>
      <w:r>
        <w:rPr>
          <w:rFonts w:hint="eastAsia"/>
        </w:rPr>
        <w:lastRenderedPageBreak/>
        <w:t>第二章</w:t>
      </w:r>
      <w:r>
        <w:rPr>
          <w:rFonts w:hint="eastAsia"/>
        </w:rPr>
        <w:t xml:space="preserve">  </w:t>
      </w:r>
      <w:r>
        <w:rPr>
          <w:rFonts w:hint="eastAsia"/>
        </w:rPr>
        <w:t>采购须知</w:t>
      </w:r>
      <w:bookmarkEnd w:id="0"/>
      <w:bookmarkEnd w:id="5"/>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70408" w:rsidRPr="00670408">
              <w:rPr>
                <w:rFonts w:ascii="宋体" w:hint="eastAsia"/>
                <w:szCs w:val="21"/>
              </w:rPr>
              <w:t>产科生物护脐带</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6" w:name="_Toc365040661"/>
            <w:r>
              <w:rPr>
                <w:rFonts w:ascii="宋体" w:hint="eastAsia"/>
                <w:szCs w:val="21"/>
              </w:rPr>
              <w:t>否</w:t>
            </w:r>
            <w:bookmarkEnd w:id="6"/>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0" w:name="_Toc217446065"/>
      <w:bookmarkStart w:id="11"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0"/>
      <w:bookmarkEnd w:id="11"/>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6" w:name="_Toc146532506"/>
      <w:bookmarkStart w:id="17" w:name="_Toc150831011"/>
      <w:bookmarkStart w:id="18" w:name="_Toc134536603"/>
      <w:r>
        <w:rPr>
          <w:rFonts w:hint="eastAsia"/>
        </w:rPr>
        <w:lastRenderedPageBreak/>
        <w:t>第三章</w:t>
      </w:r>
      <w:r>
        <w:rPr>
          <w:rFonts w:hint="eastAsia"/>
        </w:rPr>
        <w:t xml:space="preserve">  </w:t>
      </w:r>
      <w:r>
        <w:rPr>
          <w:rFonts w:hint="eastAsia"/>
        </w:rPr>
        <w:t>采购申请文件格式</w:t>
      </w:r>
      <w:bookmarkEnd w:id="16"/>
      <w:bookmarkEnd w:id="17"/>
      <w:bookmarkEnd w:id="18"/>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19"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9"/>
    </w:p>
    <w:p w:rsidR="002F5864" w:rsidRDefault="001404B8">
      <w:pPr>
        <w:spacing w:line="360" w:lineRule="auto"/>
        <w:jc w:val="center"/>
        <w:rPr>
          <w:rFonts w:ascii="黑体" w:eastAsia="黑体" w:hAnsi="黑体"/>
          <w:b/>
          <w:bCs/>
          <w:sz w:val="28"/>
          <w:szCs w:val="28"/>
        </w:rPr>
      </w:pPr>
      <w:bookmarkStart w:id="20" w:name="_Toc325028467"/>
      <w:bookmarkStart w:id="21" w:name="_Toc453578485"/>
      <w:bookmarkStart w:id="22" w:name="_Toc476736016"/>
      <w:r>
        <w:rPr>
          <w:rFonts w:ascii="黑体" w:eastAsia="黑体" w:hAnsi="黑体" w:hint="eastAsia"/>
          <w:b/>
          <w:bCs/>
          <w:sz w:val="28"/>
          <w:szCs w:val="28"/>
        </w:rPr>
        <w:lastRenderedPageBreak/>
        <w:t>格式一、采购申请函</w:t>
      </w:r>
      <w:bookmarkEnd w:id="20"/>
      <w:bookmarkEnd w:id="21"/>
      <w:bookmarkEnd w:id="22"/>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3" w:name="_Toc184704625"/>
      <w:bookmarkStart w:id="24" w:name="_Toc460503083"/>
      <w:bookmarkStart w:id="25" w:name="_Toc217446083"/>
      <w:bookmarkStart w:id="26" w:name="_Toc280877425"/>
      <w:bookmarkStart w:id="27" w:name="_Toc321598257"/>
      <w:bookmarkStart w:id="28" w:name="_Toc300303160"/>
      <w:r>
        <w:rPr>
          <w:rFonts w:ascii="黑体" w:hAnsi="黑体" w:hint="eastAsia"/>
          <w:b/>
          <w:bCs/>
          <w:sz w:val="28"/>
          <w:szCs w:val="28"/>
        </w:rPr>
        <w:br w:type="page"/>
      </w:r>
      <w:bookmarkEnd w:id="23"/>
      <w:bookmarkEnd w:id="24"/>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5"/>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6"/>
      <w:bookmarkEnd w:id="27"/>
      <w:bookmarkEnd w:id="28"/>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9" w:name="_Toc297204985"/>
      <w:bookmarkStart w:id="30" w:name="_Toc263753600"/>
      <w:bookmarkStart w:id="31" w:name="_Toc263768864"/>
      <w:bookmarkStart w:id="32" w:name="_Toc256175382"/>
      <w:bookmarkStart w:id="33" w:name="_Toc250041691"/>
      <w:bookmarkStart w:id="34" w:name="_Toc237145385"/>
      <w:bookmarkEnd w:id="29"/>
      <w:bookmarkEnd w:id="30"/>
      <w:bookmarkEnd w:id="31"/>
      <w:bookmarkEnd w:id="32"/>
      <w:bookmarkEnd w:id="33"/>
      <w:bookmarkEnd w:id="34"/>
    </w:p>
    <w:p w:rsidR="002F5864" w:rsidRDefault="001404B8">
      <w:pPr>
        <w:spacing w:line="360" w:lineRule="auto"/>
        <w:jc w:val="center"/>
        <w:rPr>
          <w:rFonts w:ascii="黑体" w:eastAsia="黑体" w:hAnsi="黑体"/>
          <w:b/>
          <w:bCs/>
          <w:sz w:val="28"/>
          <w:szCs w:val="28"/>
        </w:rPr>
      </w:pPr>
      <w:bookmarkStart w:id="35"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5"/>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6"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6"/>
    </w:p>
    <w:p w:rsidR="002F5864" w:rsidRDefault="001404B8">
      <w:pPr>
        <w:widowControl/>
        <w:jc w:val="left"/>
        <w:rPr>
          <w:rFonts w:ascii="黑体" w:eastAsia="黑体" w:hAnsi="黑体"/>
          <w:sz w:val="28"/>
          <w:szCs w:val="28"/>
        </w:rPr>
      </w:pPr>
      <w:bookmarkStart w:id="37" w:name="_Toc325028474"/>
      <w:bookmarkStart w:id="38" w:name="_Toc476736025"/>
      <w:bookmarkStart w:id="39"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0" w:name="_Toc24591"/>
      <w:bookmarkStart w:id="41" w:name="_Toc19468"/>
      <w:bookmarkEnd w:id="37"/>
      <w:bookmarkEnd w:id="38"/>
      <w:bookmarkEnd w:id="39"/>
      <w:r>
        <w:rPr>
          <w:rFonts w:ascii="黑体" w:eastAsia="黑体" w:hAnsi="黑体" w:hint="eastAsia"/>
          <w:b/>
          <w:bCs/>
          <w:sz w:val="28"/>
          <w:szCs w:val="28"/>
        </w:rPr>
        <w:t>拟投入本项目机构人员汇总表</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2" w:name="_Toc476736024"/>
      <w:bookmarkStart w:id="43" w:name="_Toc217446087"/>
      <w:bookmarkStart w:id="44" w:name="_Toc453578492"/>
      <w:bookmarkStart w:id="45" w:name="_Toc476736028"/>
      <w:bookmarkStart w:id="46" w:name="_Toc325028475"/>
      <w:r>
        <w:rPr>
          <w:rFonts w:ascii="黑体" w:eastAsia="黑体" w:hAnsi="黑体" w:hint="eastAsia"/>
          <w:b/>
          <w:bCs/>
          <w:sz w:val="28"/>
          <w:szCs w:val="28"/>
        </w:rPr>
        <w:lastRenderedPageBreak/>
        <w:t>格式七、</w:t>
      </w:r>
      <w:bookmarkStart w:id="47" w:name="_Toc14057"/>
      <w:r>
        <w:rPr>
          <w:rFonts w:ascii="黑体" w:eastAsia="黑体" w:hAnsi="黑体" w:hint="eastAsia"/>
          <w:b/>
          <w:bCs/>
          <w:sz w:val="28"/>
          <w:szCs w:val="28"/>
        </w:rPr>
        <w:t>商务应答表</w:t>
      </w:r>
      <w:bookmarkEnd w:id="47"/>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2"/>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3"/>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8" w:name="_Toc476736029"/>
      <w:bookmarkStart w:id="49" w:name="_Toc325028476"/>
      <w:bookmarkStart w:id="50" w:name="_Toc453578493"/>
      <w:bookmarkEnd w:id="44"/>
      <w:bookmarkEnd w:id="45"/>
      <w:bookmarkEnd w:id="46"/>
      <w:r>
        <w:rPr>
          <w:rFonts w:ascii="黑体" w:eastAsia="黑体" w:hAnsi="黑体" w:hint="eastAsia"/>
          <w:b/>
          <w:bCs/>
          <w:sz w:val="28"/>
          <w:szCs w:val="28"/>
        </w:rPr>
        <w:lastRenderedPageBreak/>
        <w:t>格式十、</w:t>
      </w:r>
      <w:bookmarkEnd w:id="48"/>
      <w:bookmarkEnd w:id="49"/>
      <w:bookmarkEnd w:id="50"/>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1" w:name="_Toc134536604"/>
      <w:r>
        <w:rPr>
          <w:rFonts w:hint="eastAsia"/>
        </w:rPr>
        <w:lastRenderedPageBreak/>
        <w:t>第四章</w:t>
      </w:r>
      <w:r>
        <w:rPr>
          <w:rFonts w:hint="eastAsia"/>
        </w:rPr>
        <w:t xml:space="preserve">  </w:t>
      </w:r>
      <w:r>
        <w:rPr>
          <w:rFonts w:hint="eastAsia"/>
        </w:rPr>
        <w:t>采购需求</w:t>
      </w:r>
      <w:bookmarkEnd w:id="51"/>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209" w:type="dxa"/>
        <w:jc w:val="center"/>
        <w:tblLayout w:type="fixed"/>
        <w:tblLook w:val="04A0" w:firstRow="1" w:lastRow="0" w:firstColumn="1" w:lastColumn="0" w:noHBand="0" w:noVBand="1"/>
      </w:tblPr>
      <w:tblGrid>
        <w:gridCol w:w="470"/>
        <w:gridCol w:w="977"/>
        <w:gridCol w:w="1466"/>
        <w:gridCol w:w="885"/>
        <w:gridCol w:w="1072"/>
        <w:gridCol w:w="1276"/>
        <w:gridCol w:w="2071"/>
        <w:gridCol w:w="992"/>
      </w:tblGrid>
      <w:tr w:rsidR="00670408" w:rsidTr="00013226">
        <w:trPr>
          <w:jc w:val="center"/>
        </w:trPr>
        <w:tc>
          <w:tcPr>
            <w:tcW w:w="470"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77"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46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8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07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2071"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用途</w:t>
            </w:r>
          </w:p>
        </w:tc>
        <w:tc>
          <w:tcPr>
            <w:tcW w:w="99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70408" w:rsidTr="00013226">
        <w:trPr>
          <w:jc w:val="center"/>
        </w:trPr>
        <w:tc>
          <w:tcPr>
            <w:tcW w:w="470"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77"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466" w:type="dxa"/>
            <w:vAlign w:val="center"/>
          </w:tcPr>
          <w:p w:rsidR="00670408" w:rsidRDefault="00670408" w:rsidP="00C25BCC">
            <w:pPr>
              <w:autoSpaceDE w:val="0"/>
              <w:autoSpaceDN w:val="0"/>
              <w:adjustRightInd w:val="0"/>
              <w:jc w:val="center"/>
              <w:rPr>
                <w:rFonts w:ascii="宋体" w:hAnsi="宋体"/>
                <w:color w:val="000000"/>
                <w:kern w:val="0"/>
                <w:sz w:val="24"/>
              </w:rPr>
            </w:pPr>
            <w:r w:rsidRPr="00670408">
              <w:rPr>
                <w:rFonts w:ascii="宋体" w:hAnsi="宋体" w:hint="eastAsia"/>
                <w:color w:val="000000"/>
                <w:kern w:val="0"/>
                <w:sz w:val="24"/>
              </w:rPr>
              <w:t>生物护脐带</w:t>
            </w:r>
          </w:p>
        </w:tc>
        <w:tc>
          <w:tcPr>
            <w:tcW w:w="885"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片</w:t>
            </w:r>
          </w:p>
        </w:tc>
        <w:tc>
          <w:tcPr>
            <w:tcW w:w="1072"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1276"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2071" w:type="dxa"/>
            <w:vAlign w:val="center"/>
          </w:tcPr>
          <w:p w:rsidR="00670408" w:rsidRDefault="00670408" w:rsidP="00013226">
            <w:pPr>
              <w:autoSpaceDE w:val="0"/>
              <w:autoSpaceDN w:val="0"/>
              <w:adjustRightInd w:val="0"/>
              <w:spacing w:line="300" w:lineRule="exact"/>
              <w:jc w:val="center"/>
              <w:rPr>
                <w:rFonts w:ascii="宋体" w:hAnsi="宋体"/>
                <w:color w:val="000000"/>
                <w:kern w:val="0"/>
                <w:sz w:val="24"/>
              </w:rPr>
            </w:pPr>
            <w:r>
              <w:rPr>
                <w:rFonts w:ascii="宋体" w:hAnsi="宋体" w:hint="eastAsia"/>
                <w:color w:val="000000"/>
                <w:kern w:val="0"/>
                <w:sz w:val="24"/>
              </w:rPr>
              <w:t>新生儿</w:t>
            </w:r>
            <w:r>
              <w:rPr>
                <w:rFonts w:ascii="宋体" w:hAnsi="宋体"/>
                <w:color w:val="000000"/>
                <w:kern w:val="0"/>
                <w:sz w:val="24"/>
              </w:rPr>
              <w:t>保护肚脐预防</w:t>
            </w:r>
            <w:r>
              <w:rPr>
                <w:rFonts w:ascii="宋体" w:hAnsi="宋体" w:hint="eastAsia"/>
                <w:color w:val="000000"/>
                <w:kern w:val="0"/>
                <w:sz w:val="24"/>
              </w:rPr>
              <w:t>出血、</w:t>
            </w:r>
            <w:r>
              <w:rPr>
                <w:rFonts w:ascii="宋体" w:hAnsi="宋体"/>
                <w:color w:val="000000"/>
                <w:kern w:val="0"/>
                <w:sz w:val="24"/>
              </w:rPr>
              <w:t>感染、</w:t>
            </w:r>
            <w:r>
              <w:rPr>
                <w:rFonts w:ascii="宋体" w:hAnsi="宋体" w:hint="eastAsia"/>
                <w:color w:val="000000"/>
                <w:kern w:val="0"/>
                <w:sz w:val="24"/>
              </w:rPr>
              <w:t>牵拉</w:t>
            </w:r>
          </w:p>
        </w:tc>
        <w:tc>
          <w:tcPr>
            <w:tcW w:w="992"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产科</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F5864"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AC6505" w:rsidP="00AC6505">
      <w:pPr>
        <w:pStyle w:val="a0"/>
      </w:pPr>
      <w:r>
        <w:br w:type="page"/>
      </w:r>
    </w:p>
    <w:p w:rsidR="002F5864" w:rsidRDefault="001404B8">
      <w:pPr>
        <w:pStyle w:val="afd"/>
      </w:pPr>
      <w:bookmarkStart w:id="52" w:name="_Toc134536605"/>
      <w:r>
        <w:rPr>
          <w:rFonts w:hint="eastAsia"/>
        </w:rPr>
        <w:lastRenderedPageBreak/>
        <w:t>第五章</w:t>
      </w:r>
      <w:r>
        <w:rPr>
          <w:rFonts w:hint="eastAsia"/>
        </w:rPr>
        <w:t xml:space="preserve">  </w:t>
      </w:r>
      <w:r>
        <w:rPr>
          <w:rFonts w:hint="eastAsia"/>
        </w:rPr>
        <w:t>评审办法</w:t>
      </w:r>
      <w:bookmarkEnd w:id="52"/>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3"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4" w:name="_Toc217446099"/>
      <w:bookmarkEnd w:id="53"/>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lastRenderedPageBreak/>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086345">
            <w:pPr>
              <w:rPr>
                <w:rFonts w:ascii="宋体" w:hAnsi="宋体"/>
                <w:bCs/>
                <w:color w:val="FF0000"/>
                <w:kern w:val="0"/>
                <w:sz w:val="24"/>
              </w:rPr>
            </w:pPr>
            <w:r>
              <w:rPr>
                <w:rFonts w:ascii="宋体" w:hAnsi="宋体" w:hint="eastAsia"/>
                <w:bCs/>
                <w:color w:val="FF0000"/>
                <w:kern w:val="0"/>
                <w:sz w:val="24"/>
              </w:rPr>
              <w:t>医疗器械</w:t>
            </w:r>
            <w:bookmarkStart w:id="55" w:name="_GoBack"/>
            <w:bookmarkEnd w:id="55"/>
            <w:r>
              <w:rPr>
                <w:rFonts w:ascii="宋体" w:hAnsi="宋体" w:hint="eastAsia"/>
                <w:bCs/>
                <w:color w:val="FF0000"/>
                <w:kern w:val="0"/>
                <w:sz w:val="24"/>
              </w:rPr>
              <w:t>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w:t>
            </w:r>
            <w:r>
              <w:rPr>
                <w:rFonts w:ascii="宋体" w:hAnsi="宋体" w:hint="eastAsia"/>
                <w:bCs/>
                <w:color w:val="FF0000"/>
                <w:kern w:val="0"/>
                <w:sz w:val="24"/>
              </w:rPr>
              <w:lastRenderedPageBreak/>
              <w:t>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w:t>
      </w:r>
      <w:r>
        <w:rPr>
          <w:rFonts w:hAnsi="宋体" w:hint="eastAsia"/>
          <w:sz w:val="24"/>
        </w:rPr>
        <w:lastRenderedPageBreak/>
        <w:t>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lastRenderedPageBreak/>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F1193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14088C">
            <w:pPr>
              <w:pStyle w:val="a0"/>
              <w:spacing w:line="240" w:lineRule="auto"/>
            </w:pPr>
            <w:r w:rsidRPr="00F11934">
              <w:rPr>
                <w:rFonts w:hint="eastAsia"/>
              </w:rPr>
              <w:t>对供应商或所投产品生产厂家2021年5月1日至今的产品销售业绩进行评分：每个产品业绩得3分，本项最多得3</w:t>
            </w:r>
            <w:r w:rsidR="0014088C">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14088C">
            <w:pPr>
              <w:pStyle w:val="a0"/>
              <w:spacing w:line="240" w:lineRule="auto"/>
            </w:pPr>
            <w:r w:rsidRPr="00F11934">
              <w:rPr>
                <w:rFonts w:hint="eastAsia"/>
              </w:rPr>
              <w:t>提供评标样品的样品质量、外观、制作材料、性能等综合评定，综合评定最佳得</w:t>
            </w:r>
            <w:r w:rsidR="0014088C">
              <w:t>20</w:t>
            </w:r>
            <w:r w:rsidRPr="00F11934">
              <w:rPr>
                <w:rFonts w:hint="eastAsia"/>
              </w:rPr>
              <w:t>分，其余按</w:t>
            </w:r>
            <w:r w:rsidR="0014088C">
              <w:t>5</w:t>
            </w:r>
            <w:r w:rsidRPr="00F11934">
              <w:rPr>
                <w:rFonts w:hint="eastAsia"/>
              </w:rPr>
              <w:t>分一个梯度递减，最高得</w:t>
            </w:r>
            <w:r w:rsidR="0014088C">
              <w:t>20</w:t>
            </w:r>
            <w:r w:rsidRPr="00F11934">
              <w:rPr>
                <w:rFonts w:hint="eastAsia"/>
              </w:rPr>
              <w:t>分，最低得</w:t>
            </w:r>
            <w:r w:rsidR="0014088C">
              <w:t>5</w:t>
            </w:r>
            <w:r w:rsidRPr="00F11934">
              <w:rPr>
                <w:rFonts w:hint="eastAsia"/>
              </w:rPr>
              <w:t>分。</w:t>
            </w:r>
            <w:r w:rsidRPr="00F11934">
              <w:rPr>
                <w:rFonts w:hint="eastAsia"/>
              </w:rPr>
              <w:br/>
              <w:t>注：需提供样品进行现场评定，未按要求提供样品不得分，样品型号与投标人投标</w:t>
            </w:r>
            <w:r w:rsidRPr="00F11934">
              <w:rPr>
                <w:rFonts w:hint="eastAsia"/>
              </w:rPr>
              <w:lastRenderedPageBreak/>
              <w:t>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4"/>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F3F" w:rsidRDefault="00245F3F">
      <w:r>
        <w:separator/>
      </w:r>
    </w:p>
  </w:endnote>
  <w:endnote w:type="continuationSeparator" w:id="0">
    <w:p w:rsidR="00245F3F" w:rsidRDefault="0024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86345">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framePr w:wrap="around" w:vAnchor="text" w:hAnchor="margin" w:xAlign="right" w:y="1"/>
      <w:rPr>
        <w:rStyle w:val="aff5"/>
      </w:rPr>
    </w:pPr>
    <w:r>
      <w:fldChar w:fldCharType="begin"/>
    </w:r>
    <w:r>
      <w:rPr>
        <w:rStyle w:val="aff5"/>
      </w:rPr>
      <w:instrText xml:space="preserve">PAGE  </w:instrText>
    </w:r>
    <w:r>
      <w:fldChar w:fldCharType="end"/>
    </w:r>
  </w:p>
  <w:p w:rsidR="00670408" w:rsidRDefault="0067040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086345">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70408" w:rsidRDefault="00670408">
                          <w:pPr>
                            <w:pStyle w:val="af6"/>
                          </w:pPr>
                          <w:r>
                            <w:rPr>
                              <w:rFonts w:hint="eastAsia"/>
                            </w:rPr>
                            <w:fldChar w:fldCharType="begin"/>
                          </w:r>
                          <w:r>
                            <w:rPr>
                              <w:rFonts w:hint="eastAsia"/>
                            </w:rPr>
                            <w:instrText xml:space="preserve"> PAGE  \* MERGEFORMAT </w:instrText>
                          </w:r>
                          <w:r>
                            <w:rPr>
                              <w:rFonts w:hint="eastAsia"/>
                            </w:rPr>
                            <w:fldChar w:fldCharType="separate"/>
                          </w:r>
                          <w:r w:rsidR="00086345">
                            <w:rPr>
                              <w:noProof/>
                            </w:rP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70408" w:rsidRDefault="00670408">
                    <w:pPr>
                      <w:pStyle w:val="af6"/>
                    </w:pPr>
                    <w:r>
                      <w:rPr>
                        <w:rFonts w:hint="eastAsia"/>
                      </w:rPr>
                      <w:fldChar w:fldCharType="begin"/>
                    </w:r>
                    <w:r>
                      <w:rPr>
                        <w:rFonts w:hint="eastAsia"/>
                      </w:rPr>
                      <w:instrText xml:space="preserve"> PAGE  \* MERGEFORMAT </w:instrText>
                    </w:r>
                    <w:r>
                      <w:rPr>
                        <w:rFonts w:hint="eastAsia"/>
                      </w:rPr>
                      <w:fldChar w:fldCharType="separate"/>
                    </w:r>
                    <w:r w:rsidR="00086345">
                      <w:rPr>
                        <w:noProof/>
                      </w:rPr>
                      <w:t>43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F3F" w:rsidRDefault="00245F3F">
      <w:r>
        <w:separator/>
      </w:r>
    </w:p>
  </w:footnote>
  <w:footnote w:type="continuationSeparator" w:id="0">
    <w:p w:rsidR="00245F3F" w:rsidRDefault="0024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 w:rsidR="00670408" w:rsidRDefault="006704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634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088C"/>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5F3F"/>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FA4"/>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6908E"/>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52AD6E-E4F4-498C-84AE-27CE55BE564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50</Pages>
  <Words>3592</Words>
  <Characters>20479</Characters>
  <Application>Microsoft Office Word</Application>
  <DocSecurity>0</DocSecurity>
  <Lines>170</Lines>
  <Paragraphs>48</Paragraphs>
  <ScaleCrop>false</ScaleCrop>
  <Company>Sky123.Org</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17</cp:revision>
  <cp:lastPrinted>2023-06-13T08:48:00Z</cp:lastPrinted>
  <dcterms:created xsi:type="dcterms:W3CDTF">2023-05-09T01:50:00Z</dcterms:created>
  <dcterms:modified xsi:type="dcterms:W3CDTF">2023-08-09T09:37:00Z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