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2A7B11">
      <w:pPr>
        <w:jc w:val="center"/>
        <w:rPr>
          <w:rFonts w:ascii="华文中宋" w:eastAsia="华文中宋" w:hAnsi="华文中宋"/>
          <w:b/>
          <w:sz w:val="44"/>
          <w:szCs w:val="44"/>
        </w:rPr>
      </w:pPr>
      <w:r w:rsidRPr="002A7B11">
        <w:rPr>
          <w:rFonts w:ascii="华文中宋" w:eastAsia="华文中宋" w:hAnsi="华文中宋" w:hint="eastAsia"/>
          <w:b/>
          <w:sz w:val="44"/>
          <w:szCs w:val="44"/>
        </w:rPr>
        <w:t>中央手术室一次性使用吸引管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w:t>
      </w:r>
      <w:r w:rsidR="00F378EB">
        <w:rPr>
          <w:rFonts w:ascii="华文中宋" w:eastAsia="华文中宋" w:hAnsi="华文中宋" w:cs="Tahoma"/>
          <w:b/>
          <w:color w:val="000000"/>
          <w:sz w:val="32"/>
          <w:szCs w:val="32"/>
          <w:shd w:val="clear" w:color="auto" w:fill="FFFFFF"/>
        </w:rPr>
        <w:t>1</w:t>
      </w:r>
      <w:r w:rsidR="002A7B11">
        <w:rPr>
          <w:rFonts w:ascii="华文中宋" w:eastAsia="华文中宋" w:hAnsi="华文中宋" w:cs="Tahoma"/>
          <w:b/>
          <w:color w:val="000000"/>
          <w:sz w:val="32"/>
          <w:szCs w:val="32"/>
          <w:shd w:val="clear" w:color="auto" w:fill="FFFFFF"/>
        </w:rPr>
        <w:t>225</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2A7B11">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F4A24">
        <w:rPr>
          <w:rFonts w:ascii="华文中宋" w:eastAsia="华文中宋" w:hAnsi="华文中宋"/>
          <w:b/>
          <w:sz w:val="32"/>
          <w:szCs w:val="32"/>
        </w:rPr>
        <w:t>1</w:t>
      </w:r>
      <w:r w:rsidR="002A7B11">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B5482">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3B5482">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2A7B11" w:rsidRPr="002A7B11">
        <w:rPr>
          <w:rFonts w:ascii="宋体" w:hAnsi="宋体" w:hint="eastAsia"/>
          <w:b/>
          <w:bCs/>
          <w:sz w:val="24"/>
        </w:rPr>
        <w:t>中央手术室一次性使用吸引管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w:t>
      </w:r>
      <w:r w:rsidR="00F378EB">
        <w:rPr>
          <w:rFonts w:ascii="宋体" w:hAnsi="宋体"/>
          <w:b/>
          <w:bCs/>
          <w:sz w:val="24"/>
        </w:rPr>
        <w:t>1</w:t>
      </w:r>
      <w:r w:rsidR="002A7B11">
        <w:rPr>
          <w:rFonts w:ascii="宋体" w:hAnsi="宋体"/>
          <w:b/>
          <w:bCs/>
          <w:sz w:val="24"/>
        </w:rPr>
        <w:t>225</w:t>
      </w:r>
      <w:r w:rsidR="006B062D" w:rsidRPr="006B062D">
        <w:rPr>
          <w:rFonts w:ascii="宋体" w:hAnsi="宋体"/>
          <w:b/>
          <w:bCs/>
          <w:sz w:val="24"/>
        </w:rPr>
        <w:t>-0</w:t>
      </w:r>
      <w:r w:rsidR="002A7B11">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6656F8" w:rsidTr="00681212">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81212" w:rsidTr="00681212">
        <w:trPr>
          <w:trHeight w:val="838"/>
          <w:jc w:val="center"/>
        </w:trPr>
        <w:tc>
          <w:tcPr>
            <w:tcW w:w="704"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681212" w:rsidRDefault="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一次性使用吸引管</w:t>
            </w:r>
          </w:p>
        </w:tc>
        <w:tc>
          <w:tcPr>
            <w:tcW w:w="2126" w:type="dxa"/>
            <w:vAlign w:val="center"/>
          </w:tcPr>
          <w:p w:rsidR="00681212" w:rsidRPr="00681212" w:rsidRDefault="002A7B11" w:rsidP="002A7B11">
            <w:pPr>
              <w:pStyle w:val="a0"/>
              <w:jc w:val="center"/>
            </w:pPr>
            <w:r>
              <w:rPr>
                <w:rFonts w:hint="eastAsia"/>
              </w:rPr>
              <w:t>9.33</w:t>
            </w:r>
            <w:r>
              <w:t>mm(F28)</w:t>
            </w:r>
          </w:p>
        </w:tc>
        <w:tc>
          <w:tcPr>
            <w:tcW w:w="425" w:type="dxa"/>
            <w:vAlign w:val="center"/>
          </w:tcPr>
          <w:p w:rsidR="00681212" w:rsidRDefault="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681212" w:rsidRDefault="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276" w:type="dxa"/>
            <w:vAlign w:val="center"/>
          </w:tcPr>
          <w:p w:rsidR="00681212" w:rsidRDefault="002A7B11" w:rsidP="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701" w:type="dxa"/>
            <w:vAlign w:val="center"/>
          </w:tcPr>
          <w:p w:rsidR="00681212" w:rsidRDefault="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中央手术室</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3B5482">
        <w:rPr>
          <w:rFonts w:ascii="宋体" w:hAnsi="宋体"/>
          <w:kern w:val="0"/>
          <w:sz w:val="24"/>
        </w:rPr>
        <w:t>3</w:t>
      </w:r>
      <w:r>
        <w:rPr>
          <w:rFonts w:ascii="宋体" w:hAnsi="宋体" w:hint="eastAsia"/>
          <w:kern w:val="0"/>
          <w:sz w:val="24"/>
        </w:rPr>
        <w:t>年</w:t>
      </w:r>
      <w:r w:rsidR="003B5482">
        <w:rPr>
          <w:rFonts w:ascii="宋体" w:hAnsi="宋体"/>
          <w:kern w:val="0"/>
          <w:sz w:val="24"/>
        </w:rPr>
        <w:t>12</w:t>
      </w:r>
      <w:r>
        <w:rPr>
          <w:rFonts w:ascii="宋体" w:hAnsi="宋体" w:hint="eastAsia"/>
          <w:kern w:val="0"/>
          <w:sz w:val="24"/>
        </w:rPr>
        <w:t>月</w:t>
      </w:r>
      <w:r w:rsidR="003B5482">
        <w:rPr>
          <w:rFonts w:ascii="宋体" w:hAnsi="宋体"/>
          <w:kern w:val="0"/>
          <w:sz w:val="24"/>
        </w:rPr>
        <w:t>27</w:t>
      </w:r>
      <w:r>
        <w:rPr>
          <w:rFonts w:ascii="宋体" w:hAnsi="宋体" w:hint="eastAsia"/>
          <w:kern w:val="0"/>
          <w:sz w:val="24"/>
        </w:rPr>
        <w:t>日至202</w:t>
      </w:r>
      <w:r w:rsidR="003B5482">
        <w:rPr>
          <w:rFonts w:ascii="宋体" w:hAnsi="宋体"/>
          <w:kern w:val="0"/>
          <w:sz w:val="24"/>
        </w:rPr>
        <w:t>3</w:t>
      </w:r>
      <w:r>
        <w:rPr>
          <w:rFonts w:ascii="宋体" w:hAnsi="宋体" w:hint="eastAsia"/>
          <w:kern w:val="0"/>
          <w:sz w:val="24"/>
        </w:rPr>
        <w:t>年</w:t>
      </w:r>
      <w:r w:rsidR="003B5482">
        <w:rPr>
          <w:rFonts w:ascii="宋体" w:hAnsi="宋体" w:hint="eastAsia"/>
          <w:kern w:val="0"/>
          <w:sz w:val="24"/>
        </w:rPr>
        <w:t>12</w:t>
      </w:r>
      <w:r>
        <w:rPr>
          <w:rFonts w:ascii="宋体" w:hAnsi="宋体" w:hint="eastAsia"/>
          <w:kern w:val="0"/>
          <w:sz w:val="24"/>
        </w:rPr>
        <w:t>月</w:t>
      </w:r>
      <w:r w:rsidR="003B5482">
        <w:rPr>
          <w:rFonts w:ascii="宋体" w:hAnsi="宋体"/>
          <w:kern w:val="0"/>
          <w:sz w:val="24"/>
        </w:rPr>
        <w:t>29</w:t>
      </w:r>
      <w:r>
        <w:rPr>
          <w:rFonts w:ascii="宋体" w:hAnsi="宋体" w:hint="eastAsia"/>
          <w:kern w:val="0"/>
          <w:sz w:val="24"/>
        </w:rPr>
        <w:t>日（</w:t>
      </w:r>
      <w:r w:rsidR="003B5482">
        <w:rPr>
          <w:rFonts w:ascii="宋体" w:hAnsi="宋体" w:hint="eastAsia"/>
          <w:kern w:val="0"/>
          <w:sz w:val="24"/>
        </w:rPr>
        <w:t>三</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3B5482">
        <w:rPr>
          <w:rFonts w:ascii="宋体" w:hAnsi="宋体"/>
          <w:kern w:val="0"/>
          <w:sz w:val="24"/>
          <w:u w:val="single"/>
        </w:rPr>
        <w:t>4</w:t>
      </w:r>
      <w:r>
        <w:rPr>
          <w:rFonts w:ascii="宋体" w:hAnsi="宋体" w:hint="eastAsia"/>
          <w:kern w:val="0"/>
          <w:sz w:val="24"/>
          <w:u w:val="single"/>
        </w:rPr>
        <w:t>年</w:t>
      </w:r>
      <w:r w:rsidR="003B5482">
        <w:rPr>
          <w:rFonts w:ascii="宋体" w:hAnsi="宋体"/>
          <w:kern w:val="0"/>
          <w:sz w:val="24"/>
          <w:u w:val="single"/>
        </w:rPr>
        <w:t>1</w:t>
      </w:r>
      <w:r>
        <w:rPr>
          <w:rFonts w:ascii="宋体" w:hAnsi="宋体" w:hint="eastAsia"/>
          <w:kern w:val="0"/>
          <w:sz w:val="24"/>
          <w:u w:val="single"/>
        </w:rPr>
        <w:t>月</w:t>
      </w:r>
      <w:r w:rsidR="003B5482">
        <w:rPr>
          <w:rFonts w:ascii="宋体" w:hAnsi="宋体"/>
          <w:kern w:val="0"/>
          <w:sz w:val="24"/>
          <w:u w:val="single"/>
        </w:rPr>
        <w:t>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2A7B11" w:rsidRPr="002A7B11">
              <w:rPr>
                <w:rFonts w:ascii="宋体" w:hint="eastAsia"/>
                <w:szCs w:val="21"/>
              </w:rPr>
              <w:t>中央手术室一次性使用吸引管</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w:t>
            </w:r>
            <w:bookmarkStart w:id="6" w:name="_GoBack"/>
            <w:bookmarkEnd w:id="6"/>
            <w:r>
              <w:rPr>
                <w:rFonts w:ascii="宋体" w:hint="eastAsia"/>
                <w:szCs w:val="21"/>
              </w:rPr>
              <w:t>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2A7B11" w:rsidTr="002A7B11">
        <w:trPr>
          <w:trHeight w:val="706"/>
          <w:jc w:val="center"/>
        </w:trPr>
        <w:tc>
          <w:tcPr>
            <w:tcW w:w="704"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2A7B11" w:rsidRDefault="002A7B11" w:rsidP="002A7B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2A7B11" w:rsidTr="002A7B11">
        <w:trPr>
          <w:trHeight w:val="838"/>
          <w:jc w:val="center"/>
        </w:trPr>
        <w:tc>
          <w:tcPr>
            <w:tcW w:w="704"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2A7B11" w:rsidRDefault="002A7B11" w:rsidP="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一次性使用吸引管</w:t>
            </w:r>
          </w:p>
        </w:tc>
        <w:tc>
          <w:tcPr>
            <w:tcW w:w="2126" w:type="dxa"/>
            <w:vAlign w:val="center"/>
          </w:tcPr>
          <w:p w:rsidR="002A7B11" w:rsidRPr="00681212" w:rsidRDefault="002A7B11" w:rsidP="002A7B11">
            <w:pPr>
              <w:pStyle w:val="a0"/>
              <w:jc w:val="center"/>
            </w:pPr>
            <w:r>
              <w:rPr>
                <w:rFonts w:hint="eastAsia"/>
              </w:rPr>
              <w:t>9.33</w:t>
            </w:r>
            <w:r>
              <w:t>mm(F28)</w:t>
            </w:r>
          </w:p>
        </w:tc>
        <w:tc>
          <w:tcPr>
            <w:tcW w:w="425"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276" w:type="dxa"/>
            <w:vAlign w:val="center"/>
          </w:tcPr>
          <w:p w:rsidR="002A7B11" w:rsidRDefault="002A7B11" w:rsidP="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1701" w:type="dxa"/>
            <w:vAlign w:val="center"/>
          </w:tcPr>
          <w:p w:rsidR="002A7B11" w:rsidRDefault="002A7B11" w:rsidP="002A7B11">
            <w:pPr>
              <w:autoSpaceDE w:val="0"/>
              <w:autoSpaceDN w:val="0"/>
              <w:adjustRightInd w:val="0"/>
              <w:jc w:val="center"/>
              <w:rPr>
                <w:rFonts w:ascii="宋体" w:hAnsi="宋体"/>
                <w:color w:val="000000"/>
                <w:kern w:val="0"/>
                <w:sz w:val="24"/>
              </w:rPr>
            </w:pPr>
            <w:r w:rsidRPr="002A7B11">
              <w:rPr>
                <w:rFonts w:ascii="宋体" w:hAnsi="宋体" w:hint="eastAsia"/>
                <w:color w:val="000000"/>
                <w:kern w:val="0"/>
                <w:sz w:val="24"/>
              </w:rPr>
              <w:t>中央手术室</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2A7B11" w:rsidRDefault="006656F8" w:rsidP="002A7B11">
      <w:pPr>
        <w:tabs>
          <w:tab w:val="left" w:pos="567"/>
        </w:tabs>
        <w:adjustRightInd w:val="0"/>
        <w:snapToGrid w:val="0"/>
        <w:spacing w:line="460" w:lineRule="exact"/>
        <w:ind w:firstLineChars="200" w:firstLine="499"/>
        <w:rPr>
          <w:rFonts w:ascii="宋体" w:hAnsi="宋体" w:cs="宋体"/>
          <w:sz w:val="24"/>
        </w:rPr>
      </w:pPr>
      <w:r w:rsidRPr="006656F8">
        <w:rPr>
          <w:rFonts w:ascii="宋体" w:hAnsi="宋体" w:cs="宋体"/>
          <w:sz w:val="24"/>
        </w:rPr>
        <w:t>1.</w:t>
      </w:r>
      <w:r w:rsidR="002A7B11">
        <w:rPr>
          <w:rFonts w:ascii="宋体" w:hAnsi="宋体" w:cs="宋体" w:hint="eastAsia"/>
          <w:sz w:val="24"/>
        </w:rPr>
        <w:t>一次性</w:t>
      </w:r>
      <w:r w:rsidR="002A7B11">
        <w:rPr>
          <w:rFonts w:ascii="宋体" w:hAnsi="宋体" w:cs="宋体"/>
          <w:sz w:val="24"/>
        </w:rPr>
        <w:t>使用</w:t>
      </w:r>
      <w:r w:rsidR="002A7B11">
        <w:rPr>
          <w:rFonts w:ascii="宋体" w:hAnsi="宋体" w:cs="宋体" w:hint="eastAsia"/>
          <w:sz w:val="24"/>
        </w:rPr>
        <w:t>吸引</w:t>
      </w:r>
      <w:r w:rsidR="002A7B11">
        <w:rPr>
          <w:rFonts w:ascii="宋体" w:hAnsi="宋体" w:cs="宋体"/>
          <w:sz w:val="24"/>
        </w:rPr>
        <w:t>管由吸引</w:t>
      </w:r>
      <w:r w:rsidR="002A7B11">
        <w:rPr>
          <w:rFonts w:ascii="宋体" w:hAnsi="宋体" w:cs="宋体" w:hint="eastAsia"/>
          <w:sz w:val="24"/>
        </w:rPr>
        <w:t>器</w:t>
      </w:r>
      <w:r w:rsidR="002A7B11">
        <w:rPr>
          <w:rFonts w:ascii="宋体" w:hAnsi="宋体" w:cs="宋体"/>
          <w:sz w:val="24"/>
        </w:rPr>
        <w:t>头</w:t>
      </w:r>
      <w:r w:rsidR="002A7B11">
        <w:rPr>
          <w:rFonts w:ascii="宋体" w:hAnsi="宋体" w:cs="宋体" w:hint="eastAsia"/>
          <w:sz w:val="24"/>
        </w:rPr>
        <w:t>、</w:t>
      </w:r>
      <w:r w:rsidR="002A7B11">
        <w:rPr>
          <w:rFonts w:ascii="宋体" w:hAnsi="宋体" w:cs="宋体"/>
          <w:sz w:val="24"/>
        </w:rPr>
        <w:t>连接管、接头和夹子组成。</w:t>
      </w:r>
    </w:p>
    <w:p w:rsidR="003A328B" w:rsidRPr="003F3FBC" w:rsidRDefault="002A7B11" w:rsidP="002A7B11">
      <w:pPr>
        <w:tabs>
          <w:tab w:val="left" w:pos="567"/>
        </w:tabs>
        <w:adjustRightInd w:val="0"/>
        <w:snapToGrid w:val="0"/>
        <w:spacing w:line="460" w:lineRule="exact"/>
        <w:ind w:firstLineChars="200" w:firstLine="499"/>
        <w:rPr>
          <w:rFonts w:ascii="宋体" w:hAnsi="宋体" w:cs="宋体"/>
          <w:sz w:val="24"/>
        </w:rPr>
      </w:pPr>
      <w:r>
        <w:rPr>
          <w:rFonts w:ascii="宋体" w:hAnsi="宋体" w:cs="宋体" w:hint="eastAsia"/>
          <w:sz w:val="24"/>
        </w:rPr>
        <w:t>2.</w:t>
      </w:r>
      <w:r w:rsidRPr="003F3FBC">
        <w:rPr>
          <w:rFonts w:ascii="宋体" w:hAnsi="宋体" w:cs="宋体" w:hint="eastAsia"/>
          <w:sz w:val="24"/>
        </w:rPr>
        <w:t>吸引</w:t>
      </w:r>
      <w:r w:rsidRPr="003F3FBC">
        <w:rPr>
          <w:rFonts w:ascii="宋体" w:hAnsi="宋体" w:cs="宋体"/>
          <w:sz w:val="24"/>
        </w:rPr>
        <w:t>器头和连接管、接头均采用符合</w:t>
      </w:r>
      <w:r w:rsidRPr="003F3FBC">
        <w:rPr>
          <w:rFonts w:ascii="宋体" w:hAnsi="宋体" w:cs="宋体" w:hint="eastAsia"/>
          <w:sz w:val="24"/>
        </w:rPr>
        <w:t>GB15593要求</w:t>
      </w:r>
      <w:r w:rsidRPr="003F3FBC">
        <w:rPr>
          <w:rFonts w:ascii="宋体" w:hAnsi="宋体" w:cs="宋体"/>
          <w:sz w:val="24"/>
        </w:rPr>
        <w:t>的聚氯乙烯塑料制成。</w:t>
      </w:r>
    </w:p>
    <w:p w:rsidR="003F3FBC" w:rsidRPr="003F3FBC" w:rsidRDefault="002A7B11"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3.夹子</w:t>
      </w:r>
      <w:r w:rsidRPr="003F3FBC">
        <w:rPr>
          <w:rFonts w:ascii="宋体" w:hAnsi="宋体" w:cs="宋体"/>
          <w:sz w:val="24"/>
        </w:rPr>
        <w:t>采用聚乙烯（</w:t>
      </w:r>
      <w:r w:rsidRPr="003F3FBC">
        <w:rPr>
          <w:rFonts w:ascii="宋体" w:hAnsi="宋体" w:cs="宋体" w:hint="eastAsia"/>
          <w:sz w:val="24"/>
        </w:rPr>
        <w:t>PE</w:t>
      </w:r>
      <w:r w:rsidRPr="003F3FBC">
        <w:rPr>
          <w:rFonts w:ascii="宋体" w:hAnsi="宋体" w:cs="宋体"/>
          <w:sz w:val="24"/>
        </w:rPr>
        <w:t>）</w:t>
      </w:r>
      <w:r w:rsidR="003F3FBC" w:rsidRPr="003F3FBC">
        <w:rPr>
          <w:rFonts w:ascii="宋体" w:hAnsi="宋体" w:cs="宋体" w:hint="eastAsia"/>
          <w:sz w:val="24"/>
        </w:rPr>
        <w:t>、</w:t>
      </w:r>
      <w:r w:rsidRPr="003F3FBC">
        <w:rPr>
          <w:rFonts w:ascii="宋体" w:hAnsi="宋体" w:cs="宋体" w:hint="eastAsia"/>
          <w:sz w:val="24"/>
        </w:rPr>
        <w:t>树脂ABS塑料</w:t>
      </w:r>
      <w:r w:rsidRPr="003F3FBC">
        <w:rPr>
          <w:rFonts w:ascii="宋体" w:hAnsi="宋体" w:cs="宋体"/>
          <w:sz w:val="24"/>
        </w:rPr>
        <w:t>制成</w:t>
      </w:r>
      <w:r w:rsidR="003F3FBC"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4.连接管</w:t>
      </w:r>
      <w:r w:rsidRPr="003F3FBC">
        <w:rPr>
          <w:rFonts w:ascii="宋体" w:hAnsi="宋体" w:cs="宋体"/>
          <w:sz w:val="24"/>
        </w:rPr>
        <w:t>长度≥2.5m</w:t>
      </w:r>
      <w:r w:rsidRPr="003F3FBC">
        <w:rPr>
          <w:rFonts w:ascii="宋体" w:hAnsi="宋体" w:cs="宋体" w:hint="eastAsia"/>
          <w:sz w:val="24"/>
        </w:rPr>
        <w:t>，</w:t>
      </w:r>
      <w:r w:rsidRPr="003F3FBC">
        <w:rPr>
          <w:rFonts w:ascii="宋体" w:hAnsi="宋体" w:cs="宋体"/>
          <w:sz w:val="24"/>
        </w:rPr>
        <w:t>直径≥9.33mm（</w:t>
      </w:r>
      <w:r w:rsidRPr="003F3FBC">
        <w:rPr>
          <w:rFonts w:ascii="宋体" w:hAnsi="宋体" w:cs="宋体" w:hint="eastAsia"/>
          <w:sz w:val="24"/>
        </w:rPr>
        <w:t>F28</w:t>
      </w:r>
      <w:r w:rsidRPr="003F3FBC">
        <w:rPr>
          <w:rFonts w:ascii="宋体" w:hAnsi="宋体" w:cs="宋体"/>
          <w:sz w:val="24"/>
        </w:rPr>
        <w:t>）</w:t>
      </w:r>
      <w:r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sz w:val="24"/>
        </w:rPr>
        <w:t>5.</w:t>
      </w:r>
      <w:r w:rsidRPr="003F3FBC">
        <w:rPr>
          <w:rFonts w:ascii="宋体" w:hAnsi="宋体" w:cs="宋体" w:hint="eastAsia"/>
          <w:sz w:val="24"/>
        </w:rPr>
        <w:t>临床</w:t>
      </w:r>
      <w:r w:rsidRPr="003F3FBC">
        <w:rPr>
          <w:rFonts w:ascii="宋体" w:hAnsi="宋体" w:cs="宋体"/>
          <w:sz w:val="24"/>
        </w:rPr>
        <w:t>手术时吸引残液用</w:t>
      </w:r>
      <w:r w:rsidRPr="003F3FBC">
        <w:rPr>
          <w:rFonts w:ascii="宋体" w:hAnsi="宋体" w:cs="宋体" w:hint="eastAsia"/>
          <w:sz w:val="24"/>
        </w:rPr>
        <w:t>。</w:t>
      </w:r>
    </w:p>
    <w:p w:rsidR="003F3FBC" w:rsidRPr="003F3FBC" w:rsidRDefault="003F3FBC" w:rsidP="003F3FBC">
      <w:pPr>
        <w:tabs>
          <w:tab w:val="left" w:pos="567"/>
        </w:tabs>
        <w:adjustRightInd w:val="0"/>
        <w:snapToGrid w:val="0"/>
        <w:spacing w:line="460" w:lineRule="exact"/>
        <w:ind w:firstLineChars="200" w:firstLine="499"/>
        <w:rPr>
          <w:rFonts w:ascii="宋体" w:hAnsi="宋体" w:cs="宋体"/>
          <w:sz w:val="24"/>
        </w:rPr>
      </w:pPr>
      <w:r w:rsidRPr="003F3FBC">
        <w:rPr>
          <w:rFonts w:ascii="宋体" w:hAnsi="宋体" w:cs="宋体" w:hint="eastAsia"/>
          <w:sz w:val="24"/>
        </w:rPr>
        <w:t>6.</w:t>
      </w:r>
      <w:r w:rsidRPr="003F3FBC">
        <w:rPr>
          <w:rFonts w:ascii="宋体" w:hAnsi="宋体" w:cs="宋体"/>
          <w:sz w:val="24"/>
        </w:rPr>
        <w:t>应无菌</w:t>
      </w:r>
      <w:r w:rsidRPr="003F3FBC">
        <w:rPr>
          <w:rFonts w:ascii="宋体" w:hAnsi="宋体" w:cs="宋体" w:hint="eastAsia"/>
          <w:sz w:val="24"/>
        </w:rPr>
        <w:t>，经环氧乙烷灭菌</w:t>
      </w:r>
      <w:r w:rsidR="002A7B11" w:rsidRPr="003F3FBC">
        <w:rPr>
          <w:rFonts w:ascii="宋体" w:hAnsi="宋体" w:cs="宋体"/>
          <w:sz w:val="24"/>
        </w:rPr>
        <w:t>。</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3F3FBC">
            <w:pPr>
              <w:pStyle w:val="a0"/>
              <w:spacing w:line="240" w:lineRule="auto"/>
            </w:pPr>
            <w:r w:rsidRPr="00F11934">
              <w:rPr>
                <w:rFonts w:hint="eastAsia"/>
              </w:rPr>
              <w:t>满足公开采购文件要求且单价最低的报价为基准价，其价格分为满分。其他供应商的价格分统一按照下列公式计算：报价得分=(基准价／报价)*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t>注：需提供样品进行现场评定，未按要求</w:t>
            </w:r>
            <w:r w:rsidRPr="00F11934">
              <w:rPr>
                <w:rFonts w:hint="eastAsia"/>
              </w:rPr>
              <w:lastRenderedPageBreak/>
              <w:t>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BE" w:rsidRDefault="006826BE">
      <w:r>
        <w:separator/>
      </w:r>
    </w:p>
  </w:endnote>
  <w:endnote w:type="continuationSeparator" w:id="0">
    <w:p w:rsidR="006826BE" w:rsidRDefault="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31678">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framePr w:wrap="around" w:vAnchor="text" w:hAnchor="margin" w:xAlign="right" w:y="1"/>
      <w:rPr>
        <w:rStyle w:val="aff5"/>
      </w:rPr>
    </w:pPr>
    <w:r>
      <w:fldChar w:fldCharType="begin"/>
    </w:r>
    <w:r>
      <w:rPr>
        <w:rStyle w:val="aff5"/>
      </w:rPr>
      <w:instrText xml:space="preserve">PAGE  </w:instrText>
    </w:r>
    <w:r>
      <w:fldChar w:fldCharType="end"/>
    </w:r>
  </w:p>
  <w:p w:rsidR="003B5482" w:rsidRDefault="003B548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3167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031678">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031678">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BE" w:rsidRDefault="006826BE">
      <w:r>
        <w:separator/>
      </w:r>
    </w:p>
  </w:footnote>
  <w:footnote w:type="continuationSeparator" w:id="0">
    <w:p w:rsidR="006826BE" w:rsidRDefault="0068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 w:rsidR="003B5482" w:rsidRDefault="003B54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678"/>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482"/>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6B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12935"/>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F663D-B043-4539-AFF5-5F9A255C7B0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3629</Words>
  <Characters>20691</Characters>
  <Application>Microsoft Office Word</Application>
  <DocSecurity>0</DocSecurity>
  <Lines>172</Lines>
  <Paragraphs>48</Paragraphs>
  <ScaleCrop>false</ScaleCrop>
  <Company>Sky123.Org</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37</cp:revision>
  <cp:lastPrinted>2023-12-26T07:24:00Z</cp:lastPrinted>
  <dcterms:created xsi:type="dcterms:W3CDTF">2023-05-09T01:50:00Z</dcterms:created>
  <dcterms:modified xsi:type="dcterms:W3CDTF">2023-12-26T07:39:00Z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