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老旧电梯安全评估服务采购项目</w:t>
      </w:r>
    </w:p>
    <w:p w14:paraId="7D15CE89">
      <w:pPr>
        <w:jc w:val="center"/>
        <w:rPr>
          <w:rFonts w:ascii="华文中宋" w:hAnsi="华文中宋" w:eastAsia="华文中宋"/>
          <w:b/>
          <w:color w:val="auto"/>
          <w:sz w:val="44"/>
          <w:szCs w:val="44"/>
          <w:highlight w:val="none"/>
        </w:rPr>
      </w:pPr>
    </w:p>
    <w:p w14:paraId="2B98ACE7">
      <w:pPr>
        <w:pStyle w:val="18"/>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rPr>
        <w:t>50818</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年8月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1"/>
          <w:rFonts w:asciiTheme="minorEastAsia" w:hAnsiTheme="minorEastAsia" w:eastAsiaTheme="minorEastAsia"/>
          <w:color w:val="auto"/>
          <w:sz w:val="32"/>
          <w:szCs w:val="32"/>
          <w:highlight w:val="none"/>
        </w:rPr>
        <w:t>第一章  采购公告</w:t>
      </w:r>
      <w:r>
        <w:rPr>
          <w:rStyle w:val="51"/>
          <w:rFonts w:asciiTheme="minorEastAsia" w:hAnsiTheme="minorEastAsia" w:eastAsiaTheme="minorEastAsia"/>
          <w:color w:val="auto"/>
          <w:sz w:val="32"/>
          <w:szCs w:val="32"/>
          <w:highlight w:val="none"/>
        </w:rPr>
        <w:fldChar w:fldCharType="end"/>
      </w:r>
    </w:p>
    <w:p w14:paraId="37F9297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1"/>
          <w:rFonts w:asciiTheme="minorEastAsia" w:hAnsiTheme="minorEastAsia" w:eastAsiaTheme="minorEastAsia"/>
          <w:color w:val="auto"/>
          <w:sz w:val="32"/>
          <w:szCs w:val="32"/>
          <w:highlight w:val="none"/>
        </w:rPr>
        <w:t>第二章  采购须知</w:t>
      </w:r>
      <w:r>
        <w:rPr>
          <w:rStyle w:val="51"/>
          <w:rFonts w:asciiTheme="minorEastAsia" w:hAnsiTheme="minorEastAsia" w:eastAsiaTheme="minorEastAsia"/>
          <w:color w:val="auto"/>
          <w:sz w:val="32"/>
          <w:szCs w:val="32"/>
          <w:highlight w:val="none"/>
        </w:rPr>
        <w:fldChar w:fldCharType="end"/>
      </w:r>
    </w:p>
    <w:p w14:paraId="58AA64AB">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1"/>
          <w:rFonts w:asciiTheme="minorEastAsia" w:hAnsiTheme="minorEastAsia" w:eastAsiaTheme="minorEastAsia"/>
          <w:color w:val="auto"/>
          <w:sz w:val="32"/>
          <w:szCs w:val="32"/>
          <w:highlight w:val="none"/>
        </w:rPr>
        <w:t>第三章  采购申请文件格式</w:t>
      </w:r>
      <w:r>
        <w:rPr>
          <w:rStyle w:val="51"/>
          <w:rFonts w:asciiTheme="minorEastAsia" w:hAnsiTheme="minorEastAsia" w:eastAsiaTheme="minorEastAsia"/>
          <w:color w:val="auto"/>
          <w:sz w:val="32"/>
          <w:szCs w:val="32"/>
          <w:highlight w:val="none"/>
        </w:rPr>
        <w:fldChar w:fldCharType="end"/>
      </w:r>
    </w:p>
    <w:p w14:paraId="0F7EAAE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1"/>
          <w:rFonts w:asciiTheme="minorEastAsia" w:hAnsiTheme="minorEastAsia" w:eastAsiaTheme="minorEastAsia"/>
          <w:color w:val="auto"/>
          <w:sz w:val="32"/>
          <w:szCs w:val="32"/>
          <w:highlight w:val="none"/>
        </w:rPr>
        <w:t>第四章  采购需求</w:t>
      </w:r>
      <w:r>
        <w:rPr>
          <w:rStyle w:val="51"/>
          <w:rFonts w:asciiTheme="minorEastAsia" w:hAnsiTheme="minorEastAsia" w:eastAsiaTheme="minorEastAsia"/>
          <w:color w:val="auto"/>
          <w:sz w:val="32"/>
          <w:szCs w:val="32"/>
          <w:highlight w:val="none"/>
        </w:rPr>
        <w:fldChar w:fldCharType="end"/>
      </w:r>
    </w:p>
    <w:p w14:paraId="5FD510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1"/>
          <w:rFonts w:asciiTheme="minorEastAsia" w:hAnsiTheme="minorEastAsia" w:eastAsiaTheme="minorEastAsia"/>
          <w:color w:val="auto"/>
          <w:sz w:val="32"/>
          <w:szCs w:val="32"/>
          <w:highlight w:val="none"/>
        </w:rPr>
        <w:t>第五章  评审办法</w:t>
      </w:r>
      <w:r>
        <w:rPr>
          <w:rStyle w:val="51"/>
          <w:rFonts w:asciiTheme="minorEastAsia" w:hAnsiTheme="minorEastAsia" w:eastAsiaTheme="minorEastAsia"/>
          <w:color w:val="auto"/>
          <w:sz w:val="32"/>
          <w:szCs w:val="32"/>
          <w:highlight w:val="none"/>
        </w:rPr>
        <w:fldChar w:fldCharType="end"/>
      </w:r>
    </w:p>
    <w:p w14:paraId="2F16E3B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1"/>
          <w:rFonts w:asciiTheme="minorEastAsia" w:hAnsiTheme="minorEastAsia" w:eastAsiaTheme="minorEastAsia"/>
          <w:color w:val="auto"/>
          <w:sz w:val="32"/>
          <w:szCs w:val="32"/>
          <w:highlight w:val="none"/>
        </w:rPr>
        <w:t>第</w:t>
      </w:r>
      <w:r>
        <w:rPr>
          <w:rStyle w:val="51"/>
          <w:rFonts w:hint="eastAsia" w:asciiTheme="minorEastAsia" w:hAnsiTheme="minorEastAsia" w:eastAsiaTheme="minorEastAsia"/>
          <w:color w:val="auto"/>
          <w:sz w:val="32"/>
          <w:szCs w:val="32"/>
          <w:highlight w:val="none"/>
        </w:rPr>
        <w:t>六</w:t>
      </w:r>
      <w:r>
        <w:rPr>
          <w:rStyle w:val="51"/>
          <w:rFonts w:asciiTheme="minorEastAsia" w:hAnsiTheme="minorEastAsia" w:eastAsiaTheme="minorEastAsia"/>
          <w:color w:val="auto"/>
          <w:sz w:val="32"/>
          <w:szCs w:val="32"/>
          <w:highlight w:val="none"/>
        </w:rPr>
        <w:t>章  广安市人民医院供应商黑名单管理办法</w:t>
      </w:r>
      <w:r>
        <w:rPr>
          <w:rStyle w:val="51"/>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40"/>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二、项目名称：广安市人民医院/四川大学华西医院广安医院老旧电梯安全评估服务采购项目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rPr>
        <w:t>50818</w:t>
      </w:r>
      <w:r>
        <w:rPr>
          <w:rFonts w:ascii="宋体" w:hAnsi="宋体"/>
          <w:b/>
          <w:bCs/>
          <w:color w:val="auto"/>
          <w:sz w:val="24"/>
          <w:highlight w:val="none"/>
        </w:rPr>
        <w:t>-01</w:t>
      </w:r>
    </w:p>
    <w:p w14:paraId="6A777442">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包号</w:t>
            </w:r>
          </w:p>
        </w:tc>
        <w:tc>
          <w:tcPr>
            <w:tcW w:w="1024" w:type="dxa"/>
            <w:vAlign w:val="center"/>
          </w:tcPr>
          <w:p w14:paraId="583C8CDC">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品目号</w:t>
            </w:r>
          </w:p>
        </w:tc>
        <w:tc>
          <w:tcPr>
            <w:tcW w:w="1633" w:type="dxa"/>
            <w:vAlign w:val="center"/>
          </w:tcPr>
          <w:p w14:paraId="3BAE9D4F">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单价</w:t>
            </w:r>
          </w:p>
          <w:p w14:paraId="2DBFAECE">
            <w:pPr>
              <w:autoSpaceDE w:val="0"/>
              <w:autoSpaceDN w:val="0"/>
              <w:adjustRightInd w:val="0"/>
              <w:spacing w:line="400" w:lineRule="exact"/>
              <w:jc w:val="center"/>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万元</w:t>
            </w:r>
            <w:r>
              <w:rPr>
                <w:rFonts w:ascii="宋体" w:hAnsi="宋体"/>
                <w:color w:val="auto"/>
                <w:kern w:val="0"/>
                <w:sz w:val="24"/>
                <w:highlight w:val="none"/>
              </w:rPr>
              <w:t>）</w:t>
            </w:r>
          </w:p>
        </w:tc>
        <w:tc>
          <w:tcPr>
            <w:tcW w:w="1260" w:type="dxa"/>
            <w:vAlign w:val="center"/>
          </w:tcPr>
          <w:p w14:paraId="11397828">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总价</w:t>
            </w:r>
          </w:p>
          <w:p w14:paraId="0307E9C4">
            <w:pPr>
              <w:autoSpaceDE w:val="0"/>
              <w:autoSpaceDN w:val="0"/>
              <w:adjustRightInd w:val="0"/>
              <w:spacing w:line="400" w:lineRule="exact"/>
              <w:jc w:val="center"/>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万元</w:t>
            </w:r>
            <w:r>
              <w:rPr>
                <w:rFonts w:ascii="宋体" w:hAnsi="宋体"/>
                <w:color w:val="auto"/>
                <w:kern w:val="0"/>
                <w:sz w:val="24"/>
                <w:highlight w:val="none"/>
              </w:rPr>
              <w:t>）</w:t>
            </w:r>
          </w:p>
        </w:tc>
        <w:tc>
          <w:tcPr>
            <w:tcW w:w="1290" w:type="dxa"/>
            <w:vAlign w:val="center"/>
          </w:tcPr>
          <w:p w14:paraId="4A4F8A63">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最高限价</w:t>
            </w:r>
          </w:p>
          <w:p w14:paraId="20AEE6B2">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autoSpaceDE w:val="0"/>
              <w:autoSpaceDN w:val="0"/>
              <w:adjustRightInd w:val="0"/>
              <w:jc w:val="center"/>
              <w:rPr>
                <w:color w:val="auto"/>
                <w:sz w:val="24"/>
                <w:highlight w:val="none"/>
              </w:rPr>
            </w:pPr>
            <w:r>
              <w:rPr>
                <w:rFonts w:hint="eastAsia"/>
                <w:color w:val="auto"/>
                <w:sz w:val="24"/>
                <w:highlight w:val="none"/>
              </w:rPr>
              <w:t>01</w:t>
            </w:r>
          </w:p>
        </w:tc>
        <w:tc>
          <w:tcPr>
            <w:tcW w:w="1024" w:type="dxa"/>
            <w:vAlign w:val="center"/>
          </w:tcPr>
          <w:p w14:paraId="673E6F72">
            <w:pPr>
              <w:autoSpaceDE w:val="0"/>
              <w:autoSpaceDN w:val="0"/>
              <w:adjustRightInd w:val="0"/>
              <w:jc w:val="center"/>
              <w:rPr>
                <w:color w:val="auto"/>
                <w:sz w:val="24"/>
                <w:highlight w:val="none"/>
              </w:rPr>
            </w:pPr>
            <w:r>
              <w:rPr>
                <w:rFonts w:hint="eastAsia"/>
                <w:color w:val="auto"/>
                <w:sz w:val="24"/>
                <w:highlight w:val="none"/>
              </w:rPr>
              <w:t>01-01</w:t>
            </w:r>
          </w:p>
        </w:tc>
        <w:tc>
          <w:tcPr>
            <w:tcW w:w="1633" w:type="dxa"/>
            <w:vAlign w:val="center"/>
          </w:tcPr>
          <w:p w14:paraId="50608E3A">
            <w:pPr>
              <w:autoSpaceDE w:val="0"/>
              <w:autoSpaceDN w:val="0"/>
              <w:adjustRightInd w:val="0"/>
              <w:jc w:val="center"/>
              <w:rPr>
                <w:color w:val="auto"/>
                <w:sz w:val="24"/>
                <w:highlight w:val="none"/>
              </w:rPr>
            </w:pPr>
            <w:r>
              <w:rPr>
                <w:rFonts w:hint="eastAsia"/>
                <w:color w:val="auto"/>
                <w:sz w:val="24"/>
                <w:highlight w:val="none"/>
              </w:rPr>
              <w:t>老旧电梯安全评估服务</w:t>
            </w:r>
          </w:p>
        </w:tc>
        <w:tc>
          <w:tcPr>
            <w:tcW w:w="825" w:type="dxa"/>
            <w:vAlign w:val="center"/>
          </w:tcPr>
          <w:p w14:paraId="50B43D17">
            <w:pPr>
              <w:autoSpaceDE w:val="0"/>
              <w:autoSpaceDN w:val="0"/>
              <w:adjustRightInd w:val="0"/>
              <w:jc w:val="center"/>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项</w:t>
            </w:r>
          </w:p>
        </w:tc>
        <w:tc>
          <w:tcPr>
            <w:tcW w:w="1200" w:type="dxa"/>
            <w:vAlign w:val="center"/>
          </w:tcPr>
          <w:p w14:paraId="1AA6E57B">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7.5</w:t>
            </w:r>
          </w:p>
        </w:tc>
        <w:tc>
          <w:tcPr>
            <w:tcW w:w="1260" w:type="dxa"/>
            <w:vAlign w:val="center"/>
          </w:tcPr>
          <w:p w14:paraId="7CB19A5A">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7</w:t>
            </w:r>
            <w:r>
              <w:rPr>
                <w:rFonts w:ascii="宋体" w:hAnsi="宋体"/>
                <w:color w:val="auto"/>
                <w:kern w:val="0"/>
                <w:sz w:val="24"/>
                <w:highlight w:val="none"/>
              </w:rPr>
              <w:t>.5</w:t>
            </w:r>
          </w:p>
        </w:tc>
        <w:tc>
          <w:tcPr>
            <w:tcW w:w="1290" w:type="dxa"/>
            <w:vAlign w:val="center"/>
          </w:tcPr>
          <w:p w14:paraId="155521F1">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7</w:t>
            </w:r>
            <w:r>
              <w:rPr>
                <w:rFonts w:ascii="宋体" w:hAnsi="宋体"/>
                <w:color w:val="auto"/>
                <w:kern w:val="0"/>
                <w:sz w:val="24"/>
                <w:highlight w:val="none"/>
              </w:rPr>
              <w:t>.5</w:t>
            </w:r>
          </w:p>
        </w:tc>
        <w:tc>
          <w:tcPr>
            <w:tcW w:w="1515" w:type="dxa"/>
            <w:vAlign w:val="center"/>
          </w:tcPr>
          <w:p w14:paraId="3D54FF4E">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动力运行科</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10AD351E">
      <w:pPr>
        <w:autoSpaceDE w:val="0"/>
        <w:autoSpaceDN w:val="0"/>
        <w:adjustRightInd w:val="0"/>
        <w:spacing w:before="78" w:line="360" w:lineRule="auto"/>
        <w:ind w:right="-20"/>
        <w:jc w:val="left"/>
        <w:rPr>
          <w:color w:val="auto"/>
          <w:highlight w:val="none"/>
        </w:rPr>
      </w:pPr>
      <w:r>
        <w:rPr>
          <w:rFonts w:ascii="宋体" w:hAnsi="宋体"/>
          <w:bCs/>
          <w:color w:val="auto"/>
          <w:kern w:val="0"/>
          <w:sz w:val="24"/>
          <w:highlight w:val="none"/>
        </w:rPr>
        <w:t>5.</w:t>
      </w:r>
      <w:r>
        <w:rPr>
          <w:rFonts w:hint="eastAsia" w:ascii="宋体" w:hAnsi="宋体"/>
          <w:bCs/>
          <w:color w:val="auto"/>
          <w:kern w:val="0"/>
          <w:sz w:val="24"/>
          <w:highlight w:val="none"/>
        </w:rPr>
        <w:t>7具有中华人民共和国特种设备检验检测机构核准证，且核准证需包含电梯定期检验项目（TD1）或电梯检测项目（TC或T1）。</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 xml:space="preserve">8本项目不允许联合体参加。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个工作日，每天上午8:00-12:00，下午14:30-18:00）（北京时间，法定节假日除外）。</w:t>
      </w:r>
      <w:bookmarkStart w:id="61" w:name="_GoBack"/>
      <w:bookmarkEnd w:id="61"/>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F9681AC">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项目相关咨询联系人：杨老师</w:t>
      </w:r>
    </w:p>
    <w:p w14:paraId="748FB1AF">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项目相关咨询联系电话：13882685720</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40"/>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jc w:val="center"/>
              <w:rPr>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0402FC47">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25D54AB6">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广安市人民医院/四川大学华西医院广安医院老旧电梯安全评估服务采购项目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38484DF">
            <w:pPr>
              <w:jc w:val="center"/>
              <w:rPr>
                <w:rFonts w:ascii="宋体"/>
                <w:color w:val="auto"/>
                <w:szCs w:val="21"/>
                <w:highlight w:val="none"/>
              </w:rPr>
            </w:pPr>
            <w:r>
              <w:rPr>
                <w:rFonts w:hint="eastAsia" w:ascii="宋体"/>
                <w:color w:val="auto"/>
                <w:szCs w:val="21"/>
                <w:highlight w:val="none"/>
              </w:rPr>
              <w:t>最高限价</w:t>
            </w:r>
          </w:p>
          <w:p w14:paraId="16EC0BF3">
            <w:pPr>
              <w:pStyle w:val="18"/>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71B0588">
            <w:pPr>
              <w:jc w:val="center"/>
              <w:rPr>
                <w:rFonts w:ascii="宋体"/>
                <w:color w:val="auto"/>
                <w:szCs w:val="21"/>
                <w:highlight w:val="none"/>
              </w:rPr>
            </w:pPr>
            <w:r>
              <w:rPr>
                <w:rFonts w:hint="eastAsia" w:ascii="宋体"/>
                <w:color w:val="auto"/>
                <w:szCs w:val="21"/>
                <w:highlight w:val="none"/>
              </w:rPr>
              <w:t>不正当</w:t>
            </w:r>
          </w:p>
          <w:p w14:paraId="6C04FF2A">
            <w:pPr>
              <w:jc w:val="center"/>
              <w:rPr>
                <w:rFonts w:ascii="宋体"/>
                <w:color w:val="auto"/>
                <w:szCs w:val="21"/>
                <w:highlight w:val="none"/>
              </w:rPr>
            </w:pPr>
            <w:r>
              <w:rPr>
                <w:rFonts w:hint="eastAsia" w:ascii="宋体"/>
                <w:color w:val="auto"/>
                <w:szCs w:val="21"/>
                <w:highlight w:val="none"/>
              </w:rPr>
              <w:t>竞争预防措施</w:t>
            </w:r>
          </w:p>
          <w:p w14:paraId="3EDDC95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6AE76C65">
            <w:pPr>
              <w:jc w:val="center"/>
              <w:rPr>
                <w:color w:val="auto"/>
                <w:szCs w:val="21"/>
                <w:highlight w:val="none"/>
              </w:rPr>
            </w:pPr>
            <w:r>
              <w:rPr>
                <w:rFonts w:hint="eastAsia"/>
                <w:color w:val="auto"/>
                <w:szCs w:val="21"/>
                <w:highlight w:val="none"/>
              </w:rPr>
              <w:t>采购响应有效期</w:t>
            </w:r>
          </w:p>
          <w:p w14:paraId="763BDDBE">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2698DAB">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4646C34A">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numPr>
                <w:ilvl w:val="255"/>
                <w:numId w:val="0"/>
              </w:numPr>
              <w:spacing w:line="360" w:lineRule="auto"/>
              <w:rPr>
                <w:rFonts w:ascii="宋体"/>
                <w:color w:val="auto"/>
                <w:szCs w:val="21"/>
                <w:highlight w:val="none"/>
              </w:rPr>
            </w:pPr>
            <w:r>
              <w:rPr>
                <w:rFonts w:hint="eastAsia" w:ascii="宋体"/>
                <w:b/>
                <w:bCs/>
                <w:color w:val="auto"/>
                <w:szCs w:val="21"/>
                <w:highlight w:val="none"/>
              </w:rPr>
              <w:t>采购申请文件的正本和副本应密封包装。封面注明正本或副本字样,包装袋注明联系方式</w:t>
            </w:r>
            <w:r>
              <w:rPr>
                <w:rFonts w:hint="eastAsia" w:ascii="宋体"/>
                <w:b/>
                <w:bCs/>
                <w:color w:val="auto"/>
                <w:szCs w:val="21"/>
                <w:highlight w:val="none"/>
                <w:lang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70AC72D2">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3AFE694F">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06BF1BE5">
            <w:pPr>
              <w:jc w:val="center"/>
              <w:rPr>
                <w:rFonts w:ascii="宋体"/>
                <w:color w:val="auto"/>
                <w:szCs w:val="21"/>
                <w:highlight w:val="none"/>
              </w:rPr>
            </w:pPr>
            <w:r>
              <w:rPr>
                <w:rFonts w:hint="eastAsia" w:ascii="宋体"/>
                <w:color w:val="auto"/>
                <w:szCs w:val="21"/>
                <w:highlight w:val="none"/>
              </w:rPr>
              <w:t>评审方法</w:t>
            </w:r>
          </w:p>
          <w:p w14:paraId="4F370CD0">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5C06CC35">
            <w:pPr>
              <w:rPr>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6E27C1E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D2559FD">
            <w:pPr>
              <w:jc w:val="center"/>
              <w:rPr>
                <w:rFonts w:ascii="宋体"/>
                <w:color w:val="auto"/>
                <w:szCs w:val="21"/>
                <w:highlight w:val="none"/>
              </w:rPr>
            </w:pPr>
            <w:r>
              <w:rPr>
                <w:rFonts w:hint="eastAsia" w:ascii="宋体"/>
                <w:color w:val="auto"/>
                <w:szCs w:val="21"/>
                <w:highlight w:val="none"/>
              </w:rPr>
              <w:t>履约保证金</w:t>
            </w:r>
          </w:p>
          <w:p w14:paraId="256F914F">
            <w:pPr>
              <w:pStyle w:val="18"/>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530CD70">
            <w:pPr>
              <w:spacing w:line="360" w:lineRule="auto"/>
              <w:rPr>
                <w:rFonts w:ascii="宋体"/>
                <w:color w:val="auto"/>
                <w:szCs w:val="21"/>
                <w:highlight w:val="none"/>
              </w:rPr>
            </w:pPr>
            <w:r>
              <w:rPr>
                <w:rFonts w:hint="eastAsia" w:ascii="宋体"/>
                <w:color w:val="auto"/>
                <w:szCs w:val="21"/>
                <w:highlight w:val="none"/>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3AFA9EBF">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70487613">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25AA3DA7">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125BC469">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8"/>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8"/>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8"/>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8"/>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6BE9B44C">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spacing w:line="360" w:lineRule="auto"/>
              <w:jc w:val="center"/>
              <w:rPr>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022E108D">
            <w:pPr>
              <w:jc w:val="center"/>
              <w:rPr>
                <w:rFonts w:ascii="宋体"/>
                <w:color w:val="auto"/>
                <w:szCs w:val="21"/>
                <w:highlight w:val="none"/>
              </w:rPr>
            </w:pPr>
            <w:r>
              <w:rPr>
                <w:rFonts w:hint="eastAsia" w:ascii="宋体"/>
                <w:color w:val="auto"/>
                <w:szCs w:val="21"/>
                <w:highlight w:val="none"/>
              </w:rPr>
              <w:t>严禁转包和违法分包</w:t>
            </w:r>
          </w:p>
          <w:p w14:paraId="414C457E">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spacing w:line="360" w:lineRule="auto"/>
              <w:rPr>
                <w:rFonts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4801A514">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4640635B">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报名供应商对其采购申请文件负责。如发现虚假应标、串标、围标等违反采购公开、公平、公正和诚实信用原则的手段，将严格按照《广安市人民医院供应商黑名单管理办法》（详见第七章）执行。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spacing w:line="360" w:lineRule="auto"/>
              <w:jc w:val="center"/>
              <w:rPr>
                <w:rFonts w:ascii="宋体"/>
                <w:color w:val="auto"/>
                <w:szCs w:val="21"/>
                <w:highlight w:val="none"/>
              </w:rPr>
            </w:pPr>
            <w:r>
              <w:rPr>
                <w:rFonts w:hint="eastAsia" w:ascii="宋体"/>
                <w:color w:val="auto"/>
                <w:szCs w:val="21"/>
                <w:highlight w:val="none"/>
              </w:rPr>
              <w:t>15.4</w:t>
            </w:r>
          </w:p>
        </w:tc>
        <w:tc>
          <w:tcPr>
            <w:tcW w:w="1842" w:type="dxa"/>
            <w:vAlign w:val="center"/>
          </w:tcPr>
          <w:p w14:paraId="6CF41C30">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5</w:t>
            </w:r>
          </w:p>
        </w:tc>
        <w:tc>
          <w:tcPr>
            <w:tcW w:w="1842" w:type="dxa"/>
            <w:vAlign w:val="center"/>
          </w:tcPr>
          <w:p w14:paraId="1A0B50BE">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F5419B7">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color w:val="auto"/>
          <w:highlight w:val="none"/>
        </w:rPr>
      </w:pPr>
      <w:bookmarkStart w:id="7" w:name="_Toc134536603"/>
      <w:bookmarkStart w:id="8" w:name="_Toc150831011"/>
      <w:bookmarkStart w:id="9" w:name="_Toc146532506"/>
      <w:r>
        <w:rPr>
          <w:rFonts w:hint="eastAsia"/>
          <w:color w:val="auto"/>
          <w:highlight w:val="none"/>
        </w:rPr>
        <w:br w:type="page"/>
      </w:r>
    </w:p>
    <w:p w14:paraId="12F7F411">
      <w:pPr>
        <w:pStyle w:val="40"/>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4"/>
        <w:rPr>
          <w:rFonts w:ascii="宋体" w:hAnsi="宋体"/>
          <w:b/>
          <w:color w:val="auto"/>
          <w:sz w:val="24"/>
          <w:szCs w:val="24"/>
          <w:highlight w:val="none"/>
        </w:rPr>
      </w:pPr>
    </w:p>
    <w:p w14:paraId="38116742">
      <w:pPr>
        <w:pStyle w:val="14"/>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325028467"/>
      <w:bookmarkStart w:id="12" w:name="_Toc453578485"/>
      <w:bookmarkStart w:id="13" w:name="_Toc476736016"/>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ascii="黑体" w:hAnsi="黑体" w:eastAsia="黑体"/>
          <w:b/>
          <w:bCs/>
          <w:color w:val="auto"/>
          <w:sz w:val="28"/>
          <w:szCs w:val="28"/>
          <w:highlight w:val="none"/>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格式二、营业执照</w:t>
      </w:r>
    </w:p>
    <w:p w14:paraId="0532B61C">
      <w:pP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56175382"/>
      <w:bookmarkEnd w:id="21"/>
      <w:bookmarkStart w:id="22" w:name="_Toc250041691"/>
      <w:bookmarkEnd w:id="22"/>
      <w:bookmarkStart w:id="23" w:name="_Toc237145385"/>
      <w:bookmarkEnd w:id="23"/>
      <w:bookmarkStart w:id="24" w:name="_Toc263753600"/>
      <w:bookmarkEnd w:id="24"/>
      <w:bookmarkStart w:id="25" w:name="_Toc297204985"/>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格式五、报价一览表</w:t>
      </w:r>
    </w:p>
    <w:p w14:paraId="1ABA391D">
      <w:pPr>
        <w:pStyle w:val="18"/>
        <w:rPr>
          <w:color w:val="auto"/>
          <w:highlight w:val="none"/>
        </w:rPr>
      </w:pPr>
    </w:p>
    <w:tbl>
      <w:tblPr>
        <w:tblStyle w:val="44"/>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18"/>
              <w:jc w:val="center"/>
              <w:rPr>
                <w:color w:val="auto"/>
                <w:highlight w:val="none"/>
              </w:rPr>
            </w:pPr>
            <w:r>
              <w:rPr>
                <w:color w:val="auto"/>
                <w:highlight w:val="none"/>
              </w:rPr>
              <w:t>序号</w:t>
            </w:r>
          </w:p>
        </w:tc>
        <w:tc>
          <w:tcPr>
            <w:tcW w:w="1127" w:type="pct"/>
            <w:vAlign w:val="center"/>
          </w:tcPr>
          <w:p w14:paraId="61059EF5">
            <w:pPr>
              <w:pStyle w:val="18"/>
              <w:jc w:val="center"/>
              <w:rPr>
                <w:color w:val="auto"/>
                <w:highlight w:val="none"/>
              </w:rPr>
            </w:pPr>
            <w:r>
              <w:rPr>
                <w:color w:val="auto"/>
                <w:highlight w:val="none"/>
              </w:rPr>
              <w:t>报价内容</w:t>
            </w:r>
          </w:p>
        </w:tc>
        <w:tc>
          <w:tcPr>
            <w:tcW w:w="623" w:type="pct"/>
            <w:vAlign w:val="center"/>
          </w:tcPr>
          <w:p w14:paraId="5A38B696">
            <w:pPr>
              <w:pStyle w:val="18"/>
              <w:jc w:val="center"/>
              <w:rPr>
                <w:rFonts w:hint="eastAsia" w:eastAsia="宋体"/>
                <w:color w:val="auto"/>
                <w:highlight w:val="none"/>
                <w:lang w:eastAsia="zh-CN"/>
              </w:rPr>
            </w:pPr>
            <w:r>
              <w:rPr>
                <w:rFonts w:hint="eastAsia"/>
                <w:color w:val="auto"/>
                <w:highlight w:val="none"/>
                <w:lang w:eastAsia="zh-CN"/>
              </w:rPr>
              <w:t>数量</w:t>
            </w:r>
          </w:p>
        </w:tc>
        <w:tc>
          <w:tcPr>
            <w:tcW w:w="623" w:type="pct"/>
            <w:vAlign w:val="center"/>
          </w:tcPr>
          <w:p w14:paraId="76B2E326">
            <w:pPr>
              <w:pStyle w:val="18"/>
              <w:jc w:val="center"/>
              <w:rPr>
                <w:color w:val="auto"/>
                <w:highlight w:val="none"/>
              </w:rPr>
            </w:pPr>
            <w:r>
              <w:rPr>
                <w:color w:val="auto"/>
                <w:highlight w:val="none"/>
              </w:rPr>
              <w:t>报价单位</w:t>
            </w:r>
          </w:p>
        </w:tc>
        <w:tc>
          <w:tcPr>
            <w:tcW w:w="625" w:type="pct"/>
            <w:vAlign w:val="center"/>
          </w:tcPr>
          <w:p w14:paraId="17BB1C75">
            <w:pPr>
              <w:pStyle w:val="18"/>
              <w:jc w:val="center"/>
              <w:rPr>
                <w:color w:val="auto"/>
                <w:highlight w:val="none"/>
              </w:rPr>
            </w:pPr>
            <w:r>
              <w:rPr>
                <w:rFonts w:hint="eastAsia"/>
                <w:color w:val="auto"/>
                <w:highlight w:val="none"/>
              </w:rPr>
              <w:t>响应报价</w:t>
            </w:r>
          </w:p>
        </w:tc>
        <w:tc>
          <w:tcPr>
            <w:tcW w:w="625" w:type="pct"/>
            <w:vAlign w:val="center"/>
          </w:tcPr>
          <w:p w14:paraId="57B4BACA">
            <w:pPr>
              <w:pStyle w:val="18"/>
              <w:jc w:val="center"/>
              <w:rPr>
                <w:color w:val="auto"/>
                <w:highlight w:val="none"/>
              </w:rPr>
            </w:pPr>
            <w:r>
              <w:rPr>
                <w:color w:val="auto"/>
                <w:highlight w:val="none"/>
              </w:rPr>
              <w:t>价款形式</w:t>
            </w:r>
          </w:p>
        </w:tc>
        <w:tc>
          <w:tcPr>
            <w:tcW w:w="939" w:type="pct"/>
            <w:vAlign w:val="center"/>
          </w:tcPr>
          <w:p w14:paraId="61BBCB1A">
            <w:pPr>
              <w:pStyle w:val="18"/>
              <w:jc w:val="center"/>
              <w:rPr>
                <w:color w:val="auto"/>
                <w:highlight w:val="none"/>
              </w:rPr>
            </w:pPr>
            <w:r>
              <w:rPr>
                <w:color w:val="auto"/>
                <w:highlight w:val="none"/>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18"/>
              <w:jc w:val="center"/>
              <w:rPr>
                <w:color w:val="auto"/>
                <w:highlight w:val="none"/>
              </w:rPr>
            </w:pPr>
            <w:r>
              <w:rPr>
                <w:color w:val="auto"/>
                <w:highlight w:val="none"/>
              </w:rPr>
              <w:t>1</w:t>
            </w:r>
          </w:p>
        </w:tc>
        <w:tc>
          <w:tcPr>
            <w:tcW w:w="1127" w:type="pct"/>
            <w:vAlign w:val="center"/>
          </w:tcPr>
          <w:p w14:paraId="5CA2221F">
            <w:pPr>
              <w:pStyle w:val="18"/>
              <w:jc w:val="center"/>
              <w:rPr>
                <w:color w:val="auto"/>
                <w:highlight w:val="none"/>
              </w:rPr>
            </w:pPr>
          </w:p>
        </w:tc>
        <w:tc>
          <w:tcPr>
            <w:tcW w:w="623" w:type="pct"/>
            <w:vAlign w:val="center"/>
          </w:tcPr>
          <w:p w14:paraId="013DC7CD">
            <w:pPr>
              <w:pStyle w:val="18"/>
              <w:jc w:val="center"/>
              <w:rPr>
                <w:color w:val="auto"/>
                <w:highlight w:val="none"/>
              </w:rPr>
            </w:pPr>
            <w:r>
              <w:rPr>
                <w:rFonts w:hint="eastAsia"/>
                <w:color w:val="auto"/>
                <w:highlight w:val="none"/>
                <w:lang w:val="en-US" w:eastAsia="zh-CN"/>
              </w:rPr>
              <w:t>1</w:t>
            </w:r>
            <w:r>
              <w:rPr>
                <w:color w:val="auto"/>
                <w:highlight w:val="none"/>
              </w:rPr>
              <w:t>项</w:t>
            </w:r>
          </w:p>
        </w:tc>
        <w:tc>
          <w:tcPr>
            <w:tcW w:w="623" w:type="pct"/>
            <w:vAlign w:val="center"/>
          </w:tcPr>
          <w:p w14:paraId="1CAF21C3">
            <w:pPr>
              <w:pStyle w:val="18"/>
              <w:jc w:val="center"/>
              <w:rPr>
                <w:color w:val="auto"/>
                <w:highlight w:val="none"/>
              </w:rPr>
            </w:pPr>
            <w:r>
              <w:rPr>
                <w:rFonts w:hint="eastAsia"/>
                <w:color w:val="auto"/>
                <w:highlight w:val="none"/>
              </w:rPr>
              <w:t>元</w:t>
            </w:r>
          </w:p>
        </w:tc>
        <w:tc>
          <w:tcPr>
            <w:tcW w:w="625" w:type="pct"/>
            <w:vAlign w:val="center"/>
          </w:tcPr>
          <w:p w14:paraId="5EEB8B6B">
            <w:pPr>
              <w:pStyle w:val="18"/>
              <w:jc w:val="center"/>
              <w:rPr>
                <w:color w:val="auto"/>
                <w:highlight w:val="none"/>
              </w:rPr>
            </w:pPr>
          </w:p>
        </w:tc>
        <w:tc>
          <w:tcPr>
            <w:tcW w:w="625" w:type="pct"/>
            <w:vAlign w:val="center"/>
          </w:tcPr>
          <w:p w14:paraId="4C8CD44C">
            <w:pPr>
              <w:pStyle w:val="18"/>
              <w:jc w:val="center"/>
              <w:rPr>
                <w:color w:val="auto"/>
                <w:highlight w:val="none"/>
              </w:rPr>
            </w:pPr>
            <w:r>
              <w:rPr>
                <w:rFonts w:hint="eastAsia"/>
                <w:color w:val="auto"/>
                <w:highlight w:val="none"/>
              </w:rPr>
              <w:t>总价</w:t>
            </w:r>
          </w:p>
        </w:tc>
        <w:tc>
          <w:tcPr>
            <w:tcW w:w="939" w:type="pct"/>
            <w:vAlign w:val="center"/>
          </w:tcPr>
          <w:p w14:paraId="2ABCEB93">
            <w:pPr>
              <w:pStyle w:val="18"/>
              <w:jc w:val="center"/>
              <w:rPr>
                <w:color w:val="auto"/>
                <w:highlight w:val="none"/>
              </w:rPr>
            </w:pPr>
          </w:p>
        </w:tc>
      </w:tr>
    </w:tbl>
    <w:p w14:paraId="55452842">
      <w:pPr>
        <w:pStyle w:val="18"/>
        <w:rPr>
          <w:color w:val="auto"/>
          <w:highlight w:val="none"/>
        </w:rPr>
      </w:pPr>
    </w:p>
    <w:p w14:paraId="428D0B05">
      <w:pPr>
        <w:spacing w:line="440" w:lineRule="exact"/>
        <w:ind w:firstLine="498" w:firstLineChars="200"/>
        <w:rPr>
          <w:rFonts w:cs="宋体"/>
          <w:bCs/>
          <w:color w:val="auto"/>
          <w:sz w:val="24"/>
          <w:highlight w:val="none"/>
        </w:rPr>
      </w:pPr>
      <w:r>
        <w:rPr>
          <w:rFonts w:hint="eastAsia" w:cs="宋体"/>
          <w:bCs/>
          <w:color w:val="auto"/>
          <w:sz w:val="24"/>
          <w:highlight w:val="none"/>
          <w:lang w:bidi="ar"/>
        </w:rPr>
        <w:t>注：</w:t>
      </w:r>
    </w:p>
    <w:p w14:paraId="21846BBC">
      <w:pPr>
        <w:spacing w:line="440" w:lineRule="exact"/>
        <w:ind w:firstLine="498" w:firstLineChars="200"/>
        <w:rPr>
          <w:rFonts w:cs="宋体"/>
          <w:bCs/>
          <w:color w:val="auto"/>
          <w:sz w:val="24"/>
          <w:highlight w:val="none"/>
        </w:rPr>
      </w:pPr>
      <w:r>
        <w:rPr>
          <w:rFonts w:cs="宋体"/>
          <w:bCs/>
          <w:color w:val="auto"/>
          <w:sz w:val="24"/>
          <w:highlight w:val="none"/>
          <w:lang w:bidi="ar"/>
        </w:rPr>
        <w:t>1.</w:t>
      </w:r>
      <w:r>
        <w:rPr>
          <w:rFonts w:hint="eastAsia" w:cs="宋体"/>
          <w:bCs/>
          <w:color w:val="auto"/>
          <w:sz w:val="24"/>
          <w:highlight w:val="none"/>
          <w:lang w:bidi="ar"/>
        </w:rPr>
        <w:t>所有报价均用人民币表示，包括完成本项目所投入的设备费（含租赁）、材料费、人工费、评估费（包括整改后的复评）、措施费、安全文明施工费、规费、税费等各项费用。</w:t>
      </w:r>
    </w:p>
    <w:p w14:paraId="18476411">
      <w:pPr>
        <w:spacing w:line="440" w:lineRule="exact"/>
        <w:ind w:firstLine="498" w:firstLineChars="200"/>
        <w:rPr>
          <w:rFonts w:cs="宋体"/>
          <w:b/>
          <w:color w:val="auto"/>
          <w:sz w:val="24"/>
          <w:highlight w:val="none"/>
          <w:u w:val="single"/>
        </w:rPr>
      </w:pPr>
      <w:r>
        <w:rPr>
          <w:rFonts w:cs="宋体"/>
          <w:b/>
          <w:color w:val="auto"/>
          <w:sz w:val="24"/>
          <w:highlight w:val="none"/>
          <w:u w:val="single"/>
          <w:lang w:bidi="ar"/>
        </w:rPr>
        <w:t>2.</w:t>
      </w:r>
      <w:r>
        <w:rPr>
          <w:rFonts w:hint="eastAsia" w:cs="宋体"/>
          <w:b/>
          <w:color w:val="auto"/>
          <w:sz w:val="24"/>
          <w:highlight w:val="none"/>
          <w:u w:val="single"/>
          <w:lang w:bidi="ar"/>
        </w:rPr>
        <w:t>此“报价表”装订入采购申请文件中，供应商不得在现场进行报价。</w:t>
      </w:r>
    </w:p>
    <w:p w14:paraId="7B5A90A7">
      <w:pPr>
        <w:spacing w:after="120"/>
        <w:ind w:firstLine="438" w:firstLineChars="200"/>
        <w:rPr>
          <w:rFonts w:ascii="Times New Roman" w:cs="宋体"/>
          <w:color w:val="auto"/>
          <w:highlight w:val="none"/>
        </w:rPr>
      </w:pPr>
    </w:p>
    <w:p w14:paraId="2BF845E3">
      <w:pPr>
        <w:spacing w:line="360" w:lineRule="auto"/>
        <w:ind w:firstLine="498" w:firstLineChars="200"/>
        <w:rPr>
          <w:rFonts w:cs="宋体"/>
          <w:color w:val="auto"/>
          <w:sz w:val="24"/>
          <w:szCs w:val="22"/>
          <w:highlight w:val="none"/>
        </w:rPr>
      </w:pPr>
      <w:r>
        <w:rPr>
          <w:rFonts w:hint="eastAsia" w:cs="宋体"/>
          <w:color w:val="auto"/>
          <w:sz w:val="24"/>
          <w:szCs w:val="22"/>
          <w:highlight w:val="none"/>
          <w:lang w:bidi="ar"/>
        </w:rPr>
        <w:t>供应商名称：</w:t>
      </w:r>
      <w:r>
        <w:rPr>
          <w:rFonts w:cs="宋体"/>
          <w:color w:val="auto"/>
          <w:sz w:val="24"/>
          <w:szCs w:val="22"/>
          <w:highlight w:val="none"/>
          <w:u w:val="single"/>
          <w:lang w:bidi="ar"/>
        </w:rPr>
        <w:t xml:space="preserve">                        </w:t>
      </w:r>
      <w:r>
        <w:rPr>
          <w:rFonts w:hint="eastAsia" w:cs="宋体"/>
          <w:color w:val="auto"/>
          <w:sz w:val="24"/>
          <w:szCs w:val="22"/>
          <w:highlight w:val="none"/>
          <w:lang w:bidi="ar"/>
        </w:rPr>
        <w:t>（盖单位公章）</w:t>
      </w:r>
    </w:p>
    <w:p w14:paraId="658D05DF">
      <w:pPr>
        <w:spacing w:line="360" w:lineRule="auto"/>
        <w:ind w:firstLine="498" w:firstLineChars="200"/>
        <w:rPr>
          <w:rFonts w:cs="宋体"/>
          <w:bCs/>
          <w:color w:val="auto"/>
          <w:sz w:val="24"/>
          <w:szCs w:val="22"/>
          <w:highlight w:val="none"/>
          <w:u w:val="single"/>
        </w:rPr>
      </w:pPr>
      <w:r>
        <w:rPr>
          <w:rFonts w:hint="eastAsia" w:cs="宋体"/>
          <w:bCs/>
          <w:color w:val="auto"/>
          <w:sz w:val="24"/>
          <w:szCs w:val="22"/>
          <w:highlight w:val="none"/>
          <w:lang w:bidi="ar"/>
        </w:rPr>
        <w:t>法定代表人或授权代表（签字或盖章）：</w:t>
      </w:r>
      <w:r>
        <w:rPr>
          <w:rFonts w:cs="宋体"/>
          <w:bCs/>
          <w:color w:val="auto"/>
          <w:sz w:val="24"/>
          <w:szCs w:val="22"/>
          <w:highlight w:val="none"/>
          <w:u w:val="single"/>
          <w:lang w:bidi="ar"/>
        </w:rPr>
        <w:t xml:space="preserve">              </w:t>
      </w:r>
    </w:p>
    <w:p w14:paraId="43AD6A7A">
      <w:pPr>
        <w:widowControl/>
        <w:ind w:firstLine="498" w:firstLineChars="200"/>
        <w:jc w:val="left"/>
        <w:rPr>
          <w:color w:val="auto"/>
          <w:highlight w:val="none"/>
        </w:rPr>
      </w:pPr>
      <w:r>
        <w:rPr>
          <w:rFonts w:hint="eastAsia" w:cs="宋体"/>
          <w:bCs/>
          <w:color w:val="auto"/>
          <w:sz w:val="24"/>
          <w:szCs w:val="22"/>
          <w:highlight w:val="none"/>
          <w:lang w:bidi="ar"/>
        </w:rPr>
        <w:t>日</w:t>
      </w:r>
      <w:r>
        <w:rPr>
          <w:rFonts w:cs="宋体"/>
          <w:bCs/>
          <w:color w:val="auto"/>
          <w:sz w:val="24"/>
          <w:szCs w:val="22"/>
          <w:highlight w:val="none"/>
          <w:lang w:bidi="ar"/>
        </w:rPr>
        <w:t xml:space="preserve">  </w:t>
      </w:r>
      <w:r>
        <w:rPr>
          <w:rFonts w:hint="eastAsia" w:cs="宋体"/>
          <w:bCs/>
          <w:color w:val="auto"/>
          <w:sz w:val="24"/>
          <w:szCs w:val="22"/>
          <w:highlight w:val="none"/>
          <w:lang w:bidi="ar"/>
        </w:rPr>
        <w:t>期：</w:t>
      </w:r>
      <w:r>
        <w:rPr>
          <w:rFonts w:cs="宋体"/>
          <w:bCs/>
          <w:color w:val="auto"/>
          <w:sz w:val="24"/>
          <w:szCs w:val="22"/>
          <w:highlight w:val="none"/>
          <w:u w:val="single"/>
          <w:lang w:bidi="ar"/>
        </w:rPr>
        <w:t xml:space="preserve">       </w:t>
      </w:r>
      <w:r>
        <w:rPr>
          <w:rFonts w:hint="eastAsia" w:cs="宋体"/>
          <w:bCs/>
          <w:color w:val="auto"/>
          <w:sz w:val="24"/>
          <w:szCs w:val="22"/>
          <w:highlight w:val="none"/>
          <w:lang w:bidi="ar"/>
        </w:rPr>
        <w:t>年</w:t>
      </w:r>
      <w:r>
        <w:rPr>
          <w:rFonts w:cs="宋体"/>
          <w:bCs/>
          <w:color w:val="auto"/>
          <w:sz w:val="24"/>
          <w:szCs w:val="22"/>
          <w:highlight w:val="none"/>
          <w:u w:val="single"/>
          <w:lang w:bidi="ar"/>
        </w:rPr>
        <w:t xml:space="preserve">     </w:t>
      </w:r>
      <w:r>
        <w:rPr>
          <w:rFonts w:hint="eastAsia" w:cs="宋体"/>
          <w:bCs/>
          <w:color w:val="auto"/>
          <w:sz w:val="24"/>
          <w:szCs w:val="22"/>
          <w:highlight w:val="none"/>
          <w:lang w:bidi="ar"/>
        </w:rPr>
        <w:t>月</w:t>
      </w:r>
      <w:r>
        <w:rPr>
          <w:rFonts w:cs="宋体"/>
          <w:bCs/>
          <w:color w:val="auto"/>
          <w:sz w:val="24"/>
          <w:szCs w:val="22"/>
          <w:highlight w:val="none"/>
          <w:u w:val="single"/>
          <w:lang w:bidi="ar"/>
        </w:rPr>
        <w:t xml:space="preserve">      </w:t>
      </w:r>
      <w:r>
        <w:rPr>
          <w:rFonts w:hint="eastAsia" w:cs="宋体"/>
          <w:bCs/>
          <w:color w:val="auto"/>
          <w:sz w:val="24"/>
          <w:szCs w:val="22"/>
          <w:highlight w:val="none"/>
          <w:lang w:bidi="ar"/>
        </w:rPr>
        <w:t>日</w:t>
      </w:r>
    </w:p>
    <w:p w14:paraId="60128147">
      <w:pPr>
        <w:pStyle w:val="14"/>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76736025"/>
      <w:bookmarkStart w:id="28" w:name="_Toc325028474"/>
      <w:bookmarkStart w:id="29" w:name="_Toc453578491"/>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1</w:t>
            </w:r>
          </w:p>
        </w:tc>
        <w:tc>
          <w:tcPr>
            <w:tcW w:w="2586" w:type="dxa"/>
          </w:tcPr>
          <w:p w14:paraId="69AE20FD">
            <w:pPr>
              <w:spacing w:line="360" w:lineRule="auto"/>
              <w:ind w:right="-4" w:rightChars="-2"/>
              <w:rPr>
                <w:rFonts w:ascii="宋体" w:hAnsi="宋体"/>
                <w:color w:val="auto"/>
                <w:sz w:val="24"/>
                <w:highlight w:val="none"/>
              </w:rPr>
            </w:pPr>
          </w:p>
        </w:tc>
        <w:tc>
          <w:tcPr>
            <w:tcW w:w="1255" w:type="dxa"/>
          </w:tcPr>
          <w:p w14:paraId="198BA6D6">
            <w:pPr>
              <w:spacing w:line="360" w:lineRule="auto"/>
              <w:ind w:right="-4" w:rightChars="-2"/>
              <w:rPr>
                <w:rFonts w:ascii="宋体" w:hAnsi="宋体"/>
                <w:color w:val="auto"/>
                <w:sz w:val="24"/>
                <w:highlight w:val="none"/>
              </w:rPr>
            </w:pPr>
          </w:p>
        </w:tc>
        <w:tc>
          <w:tcPr>
            <w:tcW w:w="1201" w:type="dxa"/>
          </w:tcPr>
          <w:p w14:paraId="024CB028">
            <w:pPr>
              <w:spacing w:line="360" w:lineRule="auto"/>
              <w:ind w:right="-4" w:rightChars="-2"/>
              <w:rPr>
                <w:rFonts w:ascii="宋体" w:hAnsi="宋体"/>
                <w:color w:val="auto"/>
                <w:sz w:val="24"/>
                <w:highlight w:val="none"/>
              </w:rPr>
            </w:pPr>
          </w:p>
        </w:tc>
        <w:tc>
          <w:tcPr>
            <w:tcW w:w="2031" w:type="dxa"/>
          </w:tcPr>
          <w:p w14:paraId="7A3B8D0E">
            <w:pPr>
              <w:spacing w:line="360" w:lineRule="auto"/>
              <w:ind w:right="-4" w:rightChars="-2"/>
              <w:rPr>
                <w:rFonts w:ascii="宋体" w:hAnsi="宋体"/>
                <w:color w:val="auto"/>
                <w:sz w:val="24"/>
                <w:highlight w:val="none"/>
              </w:rPr>
            </w:pPr>
          </w:p>
        </w:tc>
        <w:tc>
          <w:tcPr>
            <w:tcW w:w="1802" w:type="dxa"/>
          </w:tcPr>
          <w:p w14:paraId="304C7E6F">
            <w:pPr>
              <w:spacing w:line="360" w:lineRule="auto"/>
              <w:ind w:right="-4" w:rightChars="-2"/>
              <w:rPr>
                <w:rFonts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2</w:t>
            </w:r>
          </w:p>
        </w:tc>
        <w:tc>
          <w:tcPr>
            <w:tcW w:w="2586" w:type="dxa"/>
          </w:tcPr>
          <w:p w14:paraId="466E0063">
            <w:pPr>
              <w:spacing w:line="360" w:lineRule="auto"/>
              <w:ind w:right="-4" w:rightChars="-2"/>
              <w:rPr>
                <w:rFonts w:ascii="宋体" w:hAnsi="宋体"/>
                <w:color w:val="auto"/>
                <w:sz w:val="24"/>
                <w:highlight w:val="none"/>
              </w:rPr>
            </w:pPr>
          </w:p>
        </w:tc>
        <w:tc>
          <w:tcPr>
            <w:tcW w:w="1255" w:type="dxa"/>
          </w:tcPr>
          <w:p w14:paraId="11D08DEE">
            <w:pPr>
              <w:spacing w:line="360" w:lineRule="auto"/>
              <w:ind w:right="-4" w:rightChars="-2"/>
              <w:rPr>
                <w:rFonts w:ascii="宋体" w:hAnsi="宋体"/>
                <w:color w:val="auto"/>
                <w:sz w:val="24"/>
                <w:highlight w:val="none"/>
              </w:rPr>
            </w:pPr>
          </w:p>
        </w:tc>
        <w:tc>
          <w:tcPr>
            <w:tcW w:w="1201" w:type="dxa"/>
          </w:tcPr>
          <w:p w14:paraId="5FB6F138">
            <w:pPr>
              <w:spacing w:line="360" w:lineRule="auto"/>
              <w:ind w:right="-4" w:rightChars="-2"/>
              <w:rPr>
                <w:rFonts w:ascii="宋体" w:hAnsi="宋体"/>
                <w:color w:val="auto"/>
                <w:sz w:val="24"/>
                <w:highlight w:val="none"/>
              </w:rPr>
            </w:pPr>
          </w:p>
        </w:tc>
        <w:tc>
          <w:tcPr>
            <w:tcW w:w="2031" w:type="dxa"/>
          </w:tcPr>
          <w:p w14:paraId="6A3186EF">
            <w:pPr>
              <w:spacing w:line="360" w:lineRule="auto"/>
              <w:ind w:right="-4" w:rightChars="-2"/>
              <w:rPr>
                <w:rFonts w:ascii="宋体" w:hAnsi="宋体"/>
                <w:color w:val="auto"/>
                <w:sz w:val="24"/>
                <w:highlight w:val="none"/>
              </w:rPr>
            </w:pPr>
          </w:p>
        </w:tc>
        <w:tc>
          <w:tcPr>
            <w:tcW w:w="1802" w:type="dxa"/>
          </w:tcPr>
          <w:p w14:paraId="6C9021EE">
            <w:pPr>
              <w:spacing w:line="360" w:lineRule="auto"/>
              <w:ind w:right="-4" w:rightChars="-2"/>
              <w:rPr>
                <w:rFonts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3</w:t>
            </w:r>
          </w:p>
        </w:tc>
        <w:tc>
          <w:tcPr>
            <w:tcW w:w="2586" w:type="dxa"/>
          </w:tcPr>
          <w:p w14:paraId="08322308">
            <w:pPr>
              <w:spacing w:line="360" w:lineRule="auto"/>
              <w:ind w:right="-4" w:rightChars="-2"/>
              <w:rPr>
                <w:rFonts w:ascii="宋体" w:hAnsi="宋体"/>
                <w:color w:val="auto"/>
                <w:sz w:val="24"/>
                <w:highlight w:val="none"/>
              </w:rPr>
            </w:pPr>
          </w:p>
        </w:tc>
        <w:tc>
          <w:tcPr>
            <w:tcW w:w="1255" w:type="dxa"/>
          </w:tcPr>
          <w:p w14:paraId="31D01443">
            <w:pPr>
              <w:spacing w:line="360" w:lineRule="auto"/>
              <w:ind w:right="-4" w:rightChars="-2"/>
              <w:rPr>
                <w:rFonts w:ascii="宋体" w:hAnsi="宋体"/>
                <w:color w:val="auto"/>
                <w:sz w:val="24"/>
                <w:highlight w:val="none"/>
              </w:rPr>
            </w:pPr>
          </w:p>
        </w:tc>
        <w:tc>
          <w:tcPr>
            <w:tcW w:w="1201" w:type="dxa"/>
          </w:tcPr>
          <w:p w14:paraId="33CCFD7E">
            <w:pPr>
              <w:spacing w:line="360" w:lineRule="auto"/>
              <w:ind w:right="-4" w:rightChars="-2"/>
              <w:rPr>
                <w:rFonts w:ascii="宋体" w:hAnsi="宋体"/>
                <w:color w:val="auto"/>
                <w:sz w:val="24"/>
                <w:highlight w:val="none"/>
              </w:rPr>
            </w:pPr>
          </w:p>
        </w:tc>
        <w:tc>
          <w:tcPr>
            <w:tcW w:w="2031" w:type="dxa"/>
          </w:tcPr>
          <w:p w14:paraId="61E2D7BF">
            <w:pPr>
              <w:spacing w:line="360" w:lineRule="auto"/>
              <w:ind w:right="-4" w:rightChars="-2"/>
              <w:rPr>
                <w:rFonts w:ascii="宋体" w:hAnsi="宋体"/>
                <w:color w:val="auto"/>
                <w:sz w:val="24"/>
                <w:highlight w:val="none"/>
              </w:rPr>
            </w:pPr>
          </w:p>
        </w:tc>
        <w:tc>
          <w:tcPr>
            <w:tcW w:w="1802" w:type="dxa"/>
          </w:tcPr>
          <w:p w14:paraId="4F5006ED">
            <w:pPr>
              <w:spacing w:line="360" w:lineRule="auto"/>
              <w:ind w:right="-4" w:rightChars="-2"/>
              <w:rPr>
                <w:rFonts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spacing w:line="360" w:lineRule="auto"/>
              <w:ind w:right="-4" w:rightChars="-2"/>
              <w:rPr>
                <w:rFonts w:ascii="宋体" w:hAnsi="宋体"/>
                <w:color w:val="auto"/>
                <w:sz w:val="24"/>
                <w:highlight w:val="none"/>
              </w:rPr>
            </w:pPr>
            <w:r>
              <w:rPr>
                <w:rFonts w:hint="eastAsia" w:ascii="宋体" w:hAnsi="宋体"/>
                <w:color w:val="auto"/>
                <w:sz w:val="24"/>
                <w:highlight w:val="none"/>
              </w:rPr>
              <w:t>…</w:t>
            </w:r>
          </w:p>
        </w:tc>
        <w:tc>
          <w:tcPr>
            <w:tcW w:w="2586" w:type="dxa"/>
          </w:tcPr>
          <w:p w14:paraId="2CBEE801">
            <w:pPr>
              <w:spacing w:line="360" w:lineRule="auto"/>
              <w:ind w:right="-4" w:rightChars="-2"/>
              <w:rPr>
                <w:rFonts w:ascii="宋体" w:hAnsi="宋体"/>
                <w:color w:val="auto"/>
                <w:sz w:val="24"/>
                <w:highlight w:val="none"/>
              </w:rPr>
            </w:pPr>
          </w:p>
        </w:tc>
        <w:tc>
          <w:tcPr>
            <w:tcW w:w="1255" w:type="dxa"/>
          </w:tcPr>
          <w:p w14:paraId="749FBE70">
            <w:pPr>
              <w:spacing w:line="360" w:lineRule="auto"/>
              <w:ind w:right="-4" w:rightChars="-2"/>
              <w:rPr>
                <w:rFonts w:ascii="宋体" w:hAnsi="宋体"/>
                <w:color w:val="auto"/>
                <w:sz w:val="24"/>
                <w:highlight w:val="none"/>
              </w:rPr>
            </w:pPr>
          </w:p>
        </w:tc>
        <w:tc>
          <w:tcPr>
            <w:tcW w:w="1201" w:type="dxa"/>
          </w:tcPr>
          <w:p w14:paraId="680CAA3F">
            <w:pPr>
              <w:spacing w:line="360" w:lineRule="auto"/>
              <w:ind w:right="-4" w:rightChars="-2"/>
              <w:rPr>
                <w:rFonts w:ascii="宋体" w:hAnsi="宋体"/>
                <w:color w:val="auto"/>
                <w:sz w:val="24"/>
                <w:highlight w:val="none"/>
              </w:rPr>
            </w:pPr>
          </w:p>
        </w:tc>
        <w:tc>
          <w:tcPr>
            <w:tcW w:w="2031" w:type="dxa"/>
          </w:tcPr>
          <w:p w14:paraId="33127483">
            <w:pPr>
              <w:spacing w:line="360" w:lineRule="auto"/>
              <w:ind w:right="-4" w:rightChars="-2"/>
              <w:rPr>
                <w:rFonts w:ascii="宋体" w:hAnsi="宋体"/>
                <w:color w:val="auto"/>
                <w:sz w:val="24"/>
                <w:highlight w:val="none"/>
              </w:rPr>
            </w:pPr>
          </w:p>
        </w:tc>
        <w:tc>
          <w:tcPr>
            <w:tcW w:w="1802" w:type="dxa"/>
          </w:tcPr>
          <w:p w14:paraId="755A1F5B">
            <w:pPr>
              <w:spacing w:line="360" w:lineRule="auto"/>
              <w:ind w:right="-4" w:rightChars="-2"/>
              <w:rPr>
                <w:rFonts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spacing w:line="360" w:lineRule="auto"/>
              <w:ind w:right="-4" w:rightChars="-2"/>
              <w:rPr>
                <w:rFonts w:ascii="宋体" w:hAnsi="宋体"/>
                <w:color w:val="auto"/>
                <w:sz w:val="24"/>
                <w:highlight w:val="none"/>
              </w:rPr>
            </w:pPr>
          </w:p>
        </w:tc>
        <w:tc>
          <w:tcPr>
            <w:tcW w:w="2586" w:type="dxa"/>
          </w:tcPr>
          <w:p w14:paraId="17AA8D9C">
            <w:pPr>
              <w:spacing w:line="360" w:lineRule="auto"/>
              <w:ind w:right="-4" w:rightChars="-2"/>
              <w:rPr>
                <w:rFonts w:ascii="宋体" w:hAnsi="宋体"/>
                <w:color w:val="auto"/>
                <w:sz w:val="24"/>
                <w:highlight w:val="none"/>
              </w:rPr>
            </w:pPr>
          </w:p>
        </w:tc>
        <w:tc>
          <w:tcPr>
            <w:tcW w:w="1255" w:type="dxa"/>
          </w:tcPr>
          <w:p w14:paraId="3D62E5C2">
            <w:pPr>
              <w:spacing w:line="360" w:lineRule="auto"/>
              <w:ind w:right="-4" w:rightChars="-2"/>
              <w:rPr>
                <w:rFonts w:ascii="宋体" w:hAnsi="宋体"/>
                <w:color w:val="auto"/>
                <w:sz w:val="24"/>
                <w:highlight w:val="none"/>
              </w:rPr>
            </w:pPr>
          </w:p>
        </w:tc>
        <w:tc>
          <w:tcPr>
            <w:tcW w:w="1201" w:type="dxa"/>
          </w:tcPr>
          <w:p w14:paraId="2C2A7135">
            <w:pPr>
              <w:spacing w:line="360" w:lineRule="auto"/>
              <w:ind w:right="-4" w:rightChars="-2"/>
              <w:rPr>
                <w:rFonts w:ascii="宋体" w:hAnsi="宋体"/>
                <w:color w:val="auto"/>
                <w:sz w:val="24"/>
                <w:highlight w:val="none"/>
              </w:rPr>
            </w:pPr>
          </w:p>
        </w:tc>
        <w:tc>
          <w:tcPr>
            <w:tcW w:w="2031" w:type="dxa"/>
          </w:tcPr>
          <w:p w14:paraId="0181712A">
            <w:pPr>
              <w:spacing w:line="360" w:lineRule="auto"/>
              <w:ind w:right="-4" w:rightChars="-2"/>
              <w:rPr>
                <w:rFonts w:ascii="宋体" w:hAnsi="宋体"/>
                <w:color w:val="auto"/>
                <w:sz w:val="24"/>
                <w:highlight w:val="none"/>
              </w:rPr>
            </w:pPr>
          </w:p>
        </w:tc>
        <w:tc>
          <w:tcPr>
            <w:tcW w:w="1802" w:type="dxa"/>
          </w:tcPr>
          <w:p w14:paraId="5DF24008">
            <w:pPr>
              <w:spacing w:line="360" w:lineRule="auto"/>
              <w:ind w:right="-4" w:rightChars="-2"/>
              <w:rPr>
                <w:rFonts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spacing w:line="360" w:lineRule="auto"/>
              <w:ind w:right="-4" w:rightChars="-2"/>
              <w:rPr>
                <w:rFonts w:ascii="宋体" w:hAnsi="宋体"/>
                <w:color w:val="auto"/>
                <w:sz w:val="24"/>
                <w:highlight w:val="none"/>
              </w:rPr>
            </w:pPr>
          </w:p>
        </w:tc>
        <w:tc>
          <w:tcPr>
            <w:tcW w:w="2586" w:type="dxa"/>
          </w:tcPr>
          <w:p w14:paraId="2913215C">
            <w:pPr>
              <w:spacing w:line="360" w:lineRule="auto"/>
              <w:ind w:right="-4" w:rightChars="-2"/>
              <w:rPr>
                <w:rFonts w:ascii="宋体" w:hAnsi="宋体"/>
                <w:color w:val="auto"/>
                <w:sz w:val="24"/>
                <w:highlight w:val="none"/>
              </w:rPr>
            </w:pPr>
          </w:p>
        </w:tc>
        <w:tc>
          <w:tcPr>
            <w:tcW w:w="1255" w:type="dxa"/>
          </w:tcPr>
          <w:p w14:paraId="2B4589B3">
            <w:pPr>
              <w:spacing w:line="360" w:lineRule="auto"/>
              <w:ind w:right="-4" w:rightChars="-2"/>
              <w:rPr>
                <w:rFonts w:ascii="宋体" w:hAnsi="宋体"/>
                <w:color w:val="auto"/>
                <w:sz w:val="24"/>
                <w:highlight w:val="none"/>
              </w:rPr>
            </w:pPr>
          </w:p>
        </w:tc>
        <w:tc>
          <w:tcPr>
            <w:tcW w:w="1201" w:type="dxa"/>
          </w:tcPr>
          <w:p w14:paraId="720EB2DA">
            <w:pPr>
              <w:spacing w:line="360" w:lineRule="auto"/>
              <w:ind w:right="-4" w:rightChars="-2"/>
              <w:rPr>
                <w:rFonts w:ascii="宋体" w:hAnsi="宋体"/>
                <w:color w:val="auto"/>
                <w:sz w:val="24"/>
                <w:highlight w:val="none"/>
              </w:rPr>
            </w:pPr>
          </w:p>
        </w:tc>
        <w:tc>
          <w:tcPr>
            <w:tcW w:w="2031" w:type="dxa"/>
          </w:tcPr>
          <w:p w14:paraId="220376FA">
            <w:pPr>
              <w:spacing w:line="360" w:lineRule="auto"/>
              <w:ind w:right="-4" w:rightChars="-2"/>
              <w:rPr>
                <w:rFonts w:ascii="宋体" w:hAnsi="宋体"/>
                <w:color w:val="auto"/>
                <w:sz w:val="24"/>
                <w:highlight w:val="none"/>
              </w:rPr>
            </w:pPr>
          </w:p>
        </w:tc>
        <w:tc>
          <w:tcPr>
            <w:tcW w:w="1802" w:type="dxa"/>
          </w:tcPr>
          <w:p w14:paraId="05E9DE8E">
            <w:pPr>
              <w:spacing w:line="360" w:lineRule="auto"/>
              <w:ind w:right="-4" w:rightChars="-2"/>
              <w:rPr>
                <w:rFonts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spacing w:line="360" w:lineRule="auto"/>
              <w:ind w:right="-4" w:rightChars="-2"/>
              <w:rPr>
                <w:rFonts w:ascii="宋体" w:hAnsi="宋体"/>
                <w:color w:val="auto"/>
                <w:sz w:val="24"/>
                <w:highlight w:val="none"/>
              </w:rPr>
            </w:pPr>
          </w:p>
        </w:tc>
        <w:tc>
          <w:tcPr>
            <w:tcW w:w="2586" w:type="dxa"/>
          </w:tcPr>
          <w:p w14:paraId="150938A4">
            <w:pPr>
              <w:spacing w:line="360" w:lineRule="auto"/>
              <w:ind w:right="-4" w:rightChars="-2"/>
              <w:rPr>
                <w:rFonts w:ascii="宋体" w:hAnsi="宋体"/>
                <w:color w:val="auto"/>
                <w:sz w:val="24"/>
                <w:highlight w:val="none"/>
              </w:rPr>
            </w:pPr>
          </w:p>
        </w:tc>
        <w:tc>
          <w:tcPr>
            <w:tcW w:w="1255" w:type="dxa"/>
          </w:tcPr>
          <w:p w14:paraId="651FDDA8">
            <w:pPr>
              <w:spacing w:line="360" w:lineRule="auto"/>
              <w:ind w:right="-4" w:rightChars="-2"/>
              <w:rPr>
                <w:rFonts w:ascii="宋体" w:hAnsi="宋体"/>
                <w:color w:val="auto"/>
                <w:sz w:val="24"/>
                <w:highlight w:val="none"/>
              </w:rPr>
            </w:pPr>
          </w:p>
        </w:tc>
        <w:tc>
          <w:tcPr>
            <w:tcW w:w="1201" w:type="dxa"/>
          </w:tcPr>
          <w:p w14:paraId="1C23FD5F">
            <w:pPr>
              <w:spacing w:line="360" w:lineRule="auto"/>
              <w:ind w:right="-4" w:rightChars="-2"/>
              <w:rPr>
                <w:rFonts w:ascii="宋体" w:hAnsi="宋体"/>
                <w:color w:val="auto"/>
                <w:sz w:val="24"/>
                <w:highlight w:val="none"/>
              </w:rPr>
            </w:pPr>
          </w:p>
        </w:tc>
        <w:tc>
          <w:tcPr>
            <w:tcW w:w="2031" w:type="dxa"/>
          </w:tcPr>
          <w:p w14:paraId="25AE659B">
            <w:pPr>
              <w:spacing w:line="360" w:lineRule="auto"/>
              <w:ind w:right="-4" w:rightChars="-2"/>
              <w:rPr>
                <w:rFonts w:ascii="宋体" w:hAnsi="宋体"/>
                <w:color w:val="auto"/>
                <w:sz w:val="24"/>
                <w:highlight w:val="none"/>
              </w:rPr>
            </w:pPr>
          </w:p>
        </w:tc>
        <w:tc>
          <w:tcPr>
            <w:tcW w:w="1802" w:type="dxa"/>
          </w:tcPr>
          <w:p w14:paraId="05AF0D31">
            <w:pPr>
              <w:spacing w:line="360" w:lineRule="auto"/>
              <w:ind w:right="-4" w:rightChars="-2"/>
              <w:rPr>
                <w:rFonts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spacing w:line="360" w:lineRule="auto"/>
              <w:ind w:right="-4" w:rightChars="-2"/>
              <w:rPr>
                <w:rFonts w:ascii="宋体" w:hAnsi="宋体"/>
                <w:color w:val="auto"/>
                <w:sz w:val="24"/>
                <w:highlight w:val="none"/>
              </w:rPr>
            </w:pPr>
          </w:p>
        </w:tc>
        <w:tc>
          <w:tcPr>
            <w:tcW w:w="2586" w:type="dxa"/>
          </w:tcPr>
          <w:p w14:paraId="67CEDE3C">
            <w:pPr>
              <w:spacing w:line="360" w:lineRule="auto"/>
              <w:ind w:right="-4" w:rightChars="-2"/>
              <w:rPr>
                <w:rFonts w:ascii="宋体" w:hAnsi="宋体"/>
                <w:color w:val="auto"/>
                <w:sz w:val="24"/>
                <w:highlight w:val="none"/>
              </w:rPr>
            </w:pPr>
          </w:p>
        </w:tc>
        <w:tc>
          <w:tcPr>
            <w:tcW w:w="1255" w:type="dxa"/>
          </w:tcPr>
          <w:p w14:paraId="2B57AC9E">
            <w:pPr>
              <w:spacing w:line="360" w:lineRule="auto"/>
              <w:ind w:right="-4" w:rightChars="-2"/>
              <w:rPr>
                <w:rFonts w:ascii="宋体" w:hAnsi="宋体"/>
                <w:color w:val="auto"/>
                <w:sz w:val="24"/>
                <w:highlight w:val="none"/>
              </w:rPr>
            </w:pPr>
          </w:p>
        </w:tc>
        <w:tc>
          <w:tcPr>
            <w:tcW w:w="1201" w:type="dxa"/>
          </w:tcPr>
          <w:p w14:paraId="4BB1FCE9">
            <w:pPr>
              <w:spacing w:line="360" w:lineRule="auto"/>
              <w:ind w:right="-4" w:rightChars="-2"/>
              <w:rPr>
                <w:rFonts w:ascii="宋体" w:hAnsi="宋体"/>
                <w:color w:val="auto"/>
                <w:sz w:val="24"/>
                <w:highlight w:val="none"/>
              </w:rPr>
            </w:pPr>
          </w:p>
        </w:tc>
        <w:tc>
          <w:tcPr>
            <w:tcW w:w="2031" w:type="dxa"/>
          </w:tcPr>
          <w:p w14:paraId="2E69E29D">
            <w:pPr>
              <w:spacing w:line="360" w:lineRule="auto"/>
              <w:ind w:right="-4" w:rightChars="-2"/>
              <w:rPr>
                <w:rFonts w:ascii="宋体" w:hAnsi="宋体"/>
                <w:color w:val="auto"/>
                <w:sz w:val="24"/>
                <w:highlight w:val="none"/>
              </w:rPr>
            </w:pPr>
          </w:p>
        </w:tc>
        <w:tc>
          <w:tcPr>
            <w:tcW w:w="1802" w:type="dxa"/>
          </w:tcPr>
          <w:p w14:paraId="5BAE9853">
            <w:pPr>
              <w:spacing w:line="360" w:lineRule="auto"/>
              <w:ind w:right="-4" w:rightChars="-2"/>
              <w:rPr>
                <w:rFonts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spacing w:line="360" w:lineRule="auto"/>
              <w:ind w:right="-4" w:rightChars="-2"/>
              <w:rPr>
                <w:rFonts w:ascii="宋体" w:hAnsi="宋体"/>
                <w:color w:val="auto"/>
                <w:sz w:val="24"/>
                <w:highlight w:val="none"/>
              </w:rPr>
            </w:pPr>
          </w:p>
        </w:tc>
        <w:tc>
          <w:tcPr>
            <w:tcW w:w="2586" w:type="dxa"/>
          </w:tcPr>
          <w:p w14:paraId="4E79A434">
            <w:pPr>
              <w:spacing w:line="360" w:lineRule="auto"/>
              <w:ind w:right="-4" w:rightChars="-2"/>
              <w:rPr>
                <w:rFonts w:ascii="宋体" w:hAnsi="宋体"/>
                <w:color w:val="auto"/>
                <w:sz w:val="24"/>
                <w:highlight w:val="none"/>
              </w:rPr>
            </w:pPr>
          </w:p>
        </w:tc>
        <w:tc>
          <w:tcPr>
            <w:tcW w:w="1255" w:type="dxa"/>
          </w:tcPr>
          <w:p w14:paraId="06DC52F8">
            <w:pPr>
              <w:spacing w:line="360" w:lineRule="auto"/>
              <w:ind w:right="-4" w:rightChars="-2"/>
              <w:rPr>
                <w:rFonts w:ascii="宋体" w:hAnsi="宋体"/>
                <w:color w:val="auto"/>
                <w:sz w:val="24"/>
                <w:highlight w:val="none"/>
              </w:rPr>
            </w:pPr>
          </w:p>
        </w:tc>
        <w:tc>
          <w:tcPr>
            <w:tcW w:w="1201" w:type="dxa"/>
          </w:tcPr>
          <w:p w14:paraId="09FAC9BF">
            <w:pPr>
              <w:spacing w:line="360" w:lineRule="auto"/>
              <w:ind w:right="-4" w:rightChars="-2"/>
              <w:rPr>
                <w:rFonts w:ascii="宋体" w:hAnsi="宋体"/>
                <w:color w:val="auto"/>
                <w:sz w:val="24"/>
                <w:highlight w:val="none"/>
              </w:rPr>
            </w:pPr>
          </w:p>
        </w:tc>
        <w:tc>
          <w:tcPr>
            <w:tcW w:w="2031" w:type="dxa"/>
          </w:tcPr>
          <w:p w14:paraId="6326E7D1">
            <w:pPr>
              <w:spacing w:line="360" w:lineRule="auto"/>
              <w:ind w:right="-4" w:rightChars="-2"/>
              <w:rPr>
                <w:rFonts w:ascii="宋体" w:hAnsi="宋体"/>
                <w:color w:val="auto"/>
                <w:sz w:val="24"/>
                <w:highlight w:val="none"/>
              </w:rPr>
            </w:pPr>
          </w:p>
        </w:tc>
        <w:tc>
          <w:tcPr>
            <w:tcW w:w="1802" w:type="dxa"/>
          </w:tcPr>
          <w:p w14:paraId="32AF8720">
            <w:pPr>
              <w:spacing w:line="360" w:lineRule="auto"/>
              <w:ind w:right="-4" w:rightChars="-2"/>
              <w:rPr>
                <w:rFonts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spacing w:line="360" w:lineRule="auto"/>
              <w:ind w:right="-4" w:rightChars="-2"/>
              <w:rPr>
                <w:rFonts w:ascii="宋体" w:hAnsi="宋体"/>
                <w:color w:val="auto"/>
                <w:sz w:val="24"/>
                <w:highlight w:val="none"/>
              </w:rPr>
            </w:pPr>
          </w:p>
        </w:tc>
        <w:tc>
          <w:tcPr>
            <w:tcW w:w="2586" w:type="dxa"/>
          </w:tcPr>
          <w:p w14:paraId="7B613CCD">
            <w:pPr>
              <w:spacing w:line="360" w:lineRule="auto"/>
              <w:ind w:right="-4" w:rightChars="-2"/>
              <w:rPr>
                <w:rFonts w:ascii="宋体" w:hAnsi="宋体"/>
                <w:color w:val="auto"/>
                <w:sz w:val="24"/>
                <w:highlight w:val="none"/>
              </w:rPr>
            </w:pPr>
          </w:p>
        </w:tc>
        <w:tc>
          <w:tcPr>
            <w:tcW w:w="1255" w:type="dxa"/>
          </w:tcPr>
          <w:p w14:paraId="754BF4DD">
            <w:pPr>
              <w:spacing w:line="360" w:lineRule="auto"/>
              <w:ind w:right="-4" w:rightChars="-2"/>
              <w:rPr>
                <w:rFonts w:ascii="宋体" w:hAnsi="宋体"/>
                <w:color w:val="auto"/>
                <w:sz w:val="24"/>
                <w:highlight w:val="none"/>
              </w:rPr>
            </w:pPr>
          </w:p>
        </w:tc>
        <w:tc>
          <w:tcPr>
            <w:tcW w:w="1201" w:type="dxa"/>
          </w:tcPr>
          <w:p w14:paraId="2DFF5AE5">
            <w:pPr>
              <w:spacing w:line="360" w:lineRule="auto"/>
              <w:ind w:right="-4" w:rightChars="-2"/>
              <w:rPr>
                <w:rFonts w:ascii="宋体" w:hAnsi="宋体"/>
                <w:color w:val="auto"/>
                <w:sz w:val="24"/>
                <w:highlight w:val="none"/>
              </w:rPr>
            </w:pPr>
          </w:p>
        </w:tc>
        <w:tc>
          <w:tcPr>
            <w:tcW w:w="2031" w:type="dxa"/>
          </w:tcPr>
          <w:p w14:paraId="6FD16F3B">
            <w:pPr>
              <w:spacing w:line="360" w:lineRule="auto"/>
              <w:ind w:right="-4" w:rightChars="-2"/>
              <w:rPr>
                <w:rFonts w:ascii="宋体" w:hAnsi="宋体"/>
                <w:color w:val="auto"/>
                <w:sz w:val="24"/>
                <w:highlight w:val="none"/>
              </w:rPr>
            </w:pPr>
          </w:p>
        </w:tc>
        <w:tc>
          <w:tcPr>
            <w:tcW w:w="1802" w:type="dxa"/>
          </w:tcPr>
          <w:p w14:paraId="286B44F8">
            <w:pPr>
              <w:spacing w:line="360" w:lineRule="auto"/>
              <w:ind w:right="-4" w:rightChars="-2"/>
              <w:rPr>
                <w:rFonts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spacing w:line="360" w:lineRule="auto"/>
              <w:ind w:right="-4" w:rightChars="-2"/>
              <w:rPr>
                <w:rFonts w:ascii="宋体" w:hAnsi="宋体"/>
                <w:color w:val="auto"/>
                <w:sz w:val="24"/>
                <w:highlight w:val="none"/>
              </w:rPr>
            </w:pPr>
          </w:p>
        </w:tc>
        <w:tc>
          <w:tcPr>
            <w:tcW w:w="2586" w:type="dxa"/>
          </w:tcPr>
          <w:p w14:paraId="78010089">
            <w:pPr>
              <w:spacing w:line="360" w:lineRule="auto"/>
              <w:ind w:right="-4" w:rightChars="-2"/>
              <w:rPr>
                <w:rFonts w:ascii="宋体" w:hAnsi="宋体"/>
                <w:color w:val="auto"/>
                <w:sz w:val="24"/>
                <w:highlight w:val="none"/>
              </w:rPr>
            </w:pPr>
          </w:p>
        </w:tc>
        <w:tc>
          <w:tcPr>
            <w:tcW w:w="1255" w:type="dxa"/>
          </w:tcPr>
          <w:p w14:paraId="21CED9A3">
            <w:pPr>
              <w:spacing w:line="360" w:lineRule="auto"/>
              <w:ind w:right="-4" w:rightChars="-2"/>
              <w:rPr>
                <w:rFonts w:ascii="宋体" w:hAnsi="宋体"/>
                <w:color w:val="auto"/>
                <w:sz w:val="24"/>
                <w:highlight w:val="none"/>
              </w:rPr>
            </w:pPr>
          </w:p>
        </w:tc>
        <w:tc>
          <w:tcPr>
            <w:tcW w:w="1201" w:type="dxa"/>
          </w:tcPr>
          <w:p w14:paraId="5E0F9A23">
            <w:pPr>
              <w:spacing w:line="360" w:lineRule="auto"/>
              <w:ind w:right="-4" w:rightChars="-2"/>
              <w:rPr>
                <w:rFonts w:ascii="宋体" w:hAnsi="宋体"/>
                <w:color w:val="auto"/>
                <w:sz w:val="24"/>
                <w:highlight w:val="none"/>
              </w:rPr>
            </w:pPr>
          </w:p>
        </w:tc>
        <w:tc>
          <w:tcPr>
            <w:tcW w:w="2031" w:type="dxa"/>
          </w:tcPr>
          <w:p w14:paraId="607080EA">
            <w:pPr>
              <w:spacing w:line="360" w:lineRule="auto"/>
              <w:ind w:right="-4" w:rightChars="-2"/>
              <w:rPr>
                <w:rFonts w:ascii="宋体" w:hAnsi="宋体"/>
                <w:color w:val="auto"/>
                <w:sz w:val="24"/>
                <w:highlight w:val="none"/>
              </w:rPr>
            </w:pPr>
          </w:p>
        </w:tc>
        <w:tc>
          <w:tcPr>
            <w:tcW w:w="1802" w:type="dxa"/>
          </w:tcPr>
          <w:p w14:paraId="77C44575">
            <w:pPr>
              <w:spacing w:line="360" w:lineRule="auto"/>
              <w:ind w:right="-4" w:rightChars="-2"/>
              <w:rPr>
                <w:rFonts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spacing w:line="360" w:lineRule="auto"/>
              <w:ind w:right="-4" w:rightChars="-2"/>
              <w:rPr>
                <w:rFonts w:ascii="宋体" w:hAnsi="宋体"/>
                <w:color w:val="auto"/>
                <w:sz w:val="24"/>
                <w:highlight w:val="none"/>
              </w:rPr>
            </w:pPr>
          </w:p>
        </w:tc>
        <w:tc>
          <w:tcPr>
            <w:tcW w:w="2586" w:type="dxa"/>
          </w:tcPr>
          <w:p w14:paraId="1971B597">
            <w:pPr>
              <w:spacing w:line="360" w:lineRule="auto"/>
              <w:ind w:right="-4" w:rightChars="-2"/>
              <w:rPr>
                <w:rFonts w:ascii="宋体" w:hAnsi="宋体"/>
                <w:color w:val="auto"/>
                <w:sz w:val="24"/>
                <w:highlight w:val="none"/>
              </w:rPr>
            </w:pPr>
          </w:p>
        </w:tc>
        <w:tc>
          <w:tcPr>
            <w:tcW w:w="1255" w:type="dxa"/>
          </w:tcPr>
          <w:p w14:paraId="3E274028">
            <w:pPr>
              <w:spacing w:line="360" w:lineRule="auto"/>
              <w:ind w:right="-4" w:rightChars="-2"/>
              <w:rPr>
                <w:rFonts w:ascii="宋体" w:hAnsi="宋体"/>
                <w:color w:val="auto"/>
                <w:sz w:val="24"/>
                <w:highlight w:val="none"/>
              </w:rPr>
            </w:pPr>
          </w:p>
        </w:tc>
        <w:tc>
          <w:tcPr>
            <w:tcW w:w="1201" w:type="dxa"/>
          </w:tcPr>
          <w:p w14:paraId="1B9A4576">
            <w:pPr>
              <w:spacing w:line="360" w:lineRule="auto"/>
              <w:ind w:right="-4" w:rightChars="-2"/>
              <w:rPr>
                <w:rFonts w:ascii="宋体" w:hAnsi="宋体"/>
                <w:color w:val="auto"/>
                <w:sz w:val="24"/>
                <w:highlight w:val="none"/>
              </w:rPr>
            </w:pPr>
          </w:p>
        </w:tc>
        <w:tc>
          <w:tcPr>
            <w:tcW w:w="2031" w:type="dxa"/>
          </w:tcPr>
          <w:p w14:paraId="34D33574">
            <w:pPr>
              <w:spacing w:line="360" w:lineRule="auto"/>
              <w:ind w:right="-4" w:rightChars="-2"/>
              <w:rPr>
                <w:rFonts w:ascii="宋体" w:hAnsi="宋体"/>
                <w:color w:val="auto"/>
                <w:sz w:val="24"/>
                <w:highlight w:val="none"/>
              </w:rPr>
            </w:pPr>
          </w:p>
        </w:tc>
        <w:tc>
          <w:tcPr>
            <w:tcW w:w="1802" w:type="dxa"/>
          </w:tcPr>
          <w:p w14:paraId="5A9D973B">
            <w:pPr>
              <w:spacing w:line="360" w:lineRule="auto"/>
              <w:ind w:right="-4" w:rightChars="-2"/>
              <w:rPr>
                <w:rFonts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53578492"/>
      <w:bookmarkStart w:id="35" w:name="_Toc325028475"/>
      <w:bookmarkStart w:id="36" w:name="_Toc476736028"/>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4"/>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spacing w:line="400" w:lineRule="exact"/>
              <w:rPr>
                <w:rFonts w:hAnsi="宋体"/>
                <w:color w:val="auto"/>
                <w:kern w:val="0"/>
                <w:sz w:val="24"/>
                <w:highlight w:val="none"/>
              </w:rPr>
            </w:pPr>
            <w:r>
              <w:rPr>
                <w:rFonts w:hint="eastAsia" w:hAnsi="宋体"/>
                <w:color w:val="auto"/>
                <w:kern w:val="0"/>
                <w:sz w:val="24"/>
                <w:highlight w:val="none"/>
              </w:rPr>
              <w:t>序号</w:t>
            </w:r>
          </w:p>
        </w:tc>
        <w:tc>
          <w:tcPr>
            <w:tcW w:w="1516" w:type="dxa"/>
          </w:tcPr>
          <w:p w14:paraId="174A5A84">
            <w:pPr>
              <w:spacing w:line="400" w:lineRule="exact"/>
              <w:jc w:val="center"/>
              <w:rPr>
                <w:rFonts w:hAnsi="宋体"/>
                <w:color w:val="auto"/>
                <w:kern w:val="0"/>
                <w:sz w:val="24"/>
                <w:highlight w:val="none"/>
              </w:rPr>
            </w:pPr>
            <w:r>
              <w:rPr>
                <w:rFonts w:hint="eastAsia" w:hAnsi="宋体"/>
                <w:color w:val="auto"/>
                <w:kern w:val="0"/>
                <w:sz w:val="24"/>
                <w:highlight w:val="none"/>
              </w:rPr>
              <w:t>采购文件</w:t>
            </w:r>
          </w:p>
          <w:p w14:paraId="624C58A1">
            <w:pPr>
              <w:spacing w:line="400" w:lineRule="exact"/>
              <w:jc w:val="center"/>
              <w:rPr>
                <w:rFonts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spacing w:line="400" w:lineRule="exact"/>
              <w:jc w:val="center"/>
              <w:rPr>
                <w:rFonts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spacing w:line="400" w:lineRule="exact"/>
              <w:jc w:val="center"/>
              <w:rPr>
                <w:rFonts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spacing w:line="400" w:lineRule="exact"/>
              <w:jc w:val="center"/>
              <w:rPr>
                <w:rFonts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spacing w:line="400" w:lineRule="exact"/>
              <w:jc w:val="center"/>
              <w:rPr>
                <w:rFonts w:hAnsi="宋体"/>
                <w:color w:val="auto"/>
                <w:sz w:val="32"/>
                <w:highlight w:val="none"/>
              </w:rPr>
            </w:pPr>
          </w:p>
        </w:tc>
        <w:tc>
          <w:tcPr>
            <w:tcW w:w="1516" w:type="dxa"/>
          </w:tcPr>
          <w:p w14:paraId="6023151B">
            <w:pPr>
              <w:spacing w:line="400" w:lineRule="exact"/>
              <w:jc w:val="center"/>
              <w:rPr>
                <w:rFonts w:hAnsi="宋体"/>
                <w:color w:val="auto"/>
                <w:sz w:val="32"/>
                <w:highlight w:val="none"/>
              </w:rPr>
            </w:pPr>
          </w:p>
        </w:tc>
        <w:tc>
          <w:tcPr>
            <w:tcW w:w="1516" w:type="dxa"/>
          </w:tcPr>
          <w:p w14:paraId="76BB79F7">
            <w:pPr>
              <w:spacing w:line="400" w:lineRule="exact"/>
              <w:jc w:val="center"/>
              <w:rPr>
                <w:rFonts w:hAnsi="宋体"/>
                <w:color w:val="auto"/>
                <w:sz w:val="32"/>
                <w:highlight w:val="none"/>
              </w:rPr>
            </w:pPr>
          </w:p>
        </w:tc>
        <w:tc>
          <w:tcPr>
            <w:tcW w:w="3210" w:type="dxa"/>
          </w:tcPr>
          <w:p w14:paraId="3911AA11">
            <w:pPr>
              <w:spacing w:line="400" w:lineRule="exact"/>
              <w:ind w:left="435" w:hanging="433" w:hangingChars="132"/>
              <w:jc w:val="center"/>
              <w:rPr>
                <w:rFonts w:hAnsi="宋体"/>
                <w:color w:val="auto"/>
                <w:sz w:val="32"/>
                <w:highlight w:val="none"/>
              </w:rPr>
            </w:pPr>
          </w:p>
        </w:tc>
        <w:tc>
          <w:tcPr>
            <w:tcW w:w="1642" w:type="dxa"/>
          </w:tcPr>
          <w:p w14:paraId="442A0EC9">
            <w:pPr>
              <w:spacing w:line="400" w:lineRule="exact"/>
              <w:ind w:left="435" w:hanging="433" w:hangingChars="132"/>
              <w:jc w:val="center"/>
              <w:rPr>
                <w:rFonts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spacing w:line="400" w:lineRule="exact"/>
              <w:jc w:val="center"/>
              <w:rPr>
                <w:rFonts w:hAnsi="宋体"/>
                <w:color w:val="auto"/>
                <w:sz w:val="32"/>
                <w:highlight w:val="none"/>
              </w:rPr>
            </w:pPr>
          </w:p>
        </w:tc>
        <w:tc>
          <w:tcPr>
            <w:tcW w:w="1516" w:type="dxa"/>
          </w:tcPr>
          <w:p w14:paraId="15D0CEB4">
            <w:pPr>
              <w:spacing w:line="400" w:lineRule="exact"/>
              <w:jc w:val="center"/>
              <w:rPr>
                <w:rFonts w:hAnsi="宋体"/>
                <w:color w:val="auto"/>
                <w:sz w:val="32"/>
                <w:highlight w:val="none"/>
              </w:rPr>
            </w:pPr>
          </w:p>
        </w:tc>
        <w:tc>
          <w:tcPr>
            <w:tcW w:w="1516" w:type="dxa"/>
          </w:tcPr>
          <w:p w14:paraId="1F83696F">
            <w:pPr>
              <w:spacing w:line="400" w:lineRule="exact"/>
              <w:jc w:val="center"/>
              <w:rPr>
                <w:rFonts w:hAnsi="宋体"/>
                <w:color w:val="auto"/>
                <w:sz w:val="32"/>
                <w:highlight w:val="none"/>
              </w:rPr>
            </w:pPr>
          </w:p>
        </w:tc>
        <w:tc>
          <w:tcPr>
            <w:tcW w:w="3210" w:type="dxa"/>
          </w:tcPr>
          <w:p w14:paraId="2AC11230">
            <w:pPr>
              <w:spacing w:line="400" w:lineRule="exact"/>
              <w:jc w:val="center"/>
              <w:rPr>
                <w:rFonts w:hAnsi="宋体"/>
                <w:color w:val="auto"/>
                <w:sz w:val="32"/>
                <w:highlight w:val="none"/>
              </w:rPr>
            </w:pPr>
          </w:p>
        </w:tc>
        <w:tc>
          <w:tcPr>
            <w:tcW w:w="1642" w:type="dxa"/>
          </w:tcPr>
          <w:p w14:paraId="019B3AE0">
            <w:pPr>
              <w:spacing w:line="400" w:lineRule="exact"/>
              <w:jc w:val="center"/>
              <w:rPr>
                <w:rFonts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spacing w:line="400" w:lineRule="exact"/>
              <w:jc w:val="center"/>
              <w:rPr>
                <w:rFonts w:hAnsi="宋体"/>
                <w:color w:val="auto"/>
                <w:sz w:val="32"/>
                <w:highlight w:val="none"/>
              </w:rPr>
            </w:pPr>
          </w:p>
        </w:tc>
        <w:tc>
          <w:tcPr>
            <w:tcW w:w="1516" w:type="dxa"/>
          </w:tcPr>
          <w:p w14:paraId="143512E3">
            <w:pPr>
              <w:spacing w:line="400" w:lineRule="exact"/>
              <w:jc w:val="center"/>
              <w:rPr>
                <w:rFonts w:hAnsi="宋体"/>
                <w:color w:val="auto"/>
                <w:sz w:val="32"/>
                <w:highlight w:val="none"/>
              </w:rPr>
            </w:pPr>
          </w:p>
        </w:tc>
        <w:tc>
          <w:tcPr>
            <w:tcW w:w="1516" w:type="dxa"/>
          </w:tcPr>
          <w:p w14:paraId="3AF45DD1">
            <w:pPr>
              <w:spacing w:line="400" w:lineRule="exact"/>
              <w:jc w:val="center"/>
              <w:rPr>
                <w:rFonts w:hAnsi="宋体"/>
                <w:color w:val="auto"/>
                <w:sz w:val="32"/>
                <w:highlight w:val="none"/>
              </w:rPr>
            </w:pPr>
          </w:p>
        </w:tc>
        <w:tc>
          <w:tcPr>
            <w:tcW w:w="3210" w:type="dxa"/>
          </w:tcPr>
          <w:p w14:paraId="23E1BD52">
            <w:pPr>
              <w:spacing w:line="400" w:lineRule="exact"/>
              <w:jc w:val="center"/>
              <w:rPr>
                <w:rFonts w:hAnsi="宋体"/>
                <w:color w:val="auto"/>
                <w:sz w:val="32"/>
                <w:highlight w:val="none"/>
              </w:rPr>
            </w:pPr>
          </w:p>
        </w:tc>
        <w:tc>
          <w:tcPr>
            <w:tcW w:w="1642" w:type="dxa"/>
          </w:tcPr>
          <w:p w14:paraId="347FC183">
            <w:pPr>
              <w:spacing w:line="400" w:lineRule="exact"/>
              <w:jc w:val="center"/>
              <w:rPr>
                <w:rFonts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spacing w:line="400" w:lineRule="exact"/>
              <w:jc w:val="center"/>
              <w:rPr>
                <w:rFonts w:hAnsi="宋体"/>
                <w:color w:val="auto"/>
                <w:sz w:val="32"/>
                <w:highlight w:val="none"/>
              </w:rPr>
            </w:pPr>
          </w:p>
        </w:tc>
        <w:tc>
          <w:tcPr>
            <w:tcW w:w="1516" w:type="dxa"/>
          </w:tcPr>
          <w:p w14:paraId="5F5C8613">
            <w:pPr>
              <w:spacing w:line="400" w:lineRule="exact"/>
              <w:jc w:val="center"/>
              <w:rPr>
                <w:rFonts w:hAnsi="宋体"/>
                <w:color w:val="auto"/>
                <w:sz w:val="32"/>
                <w:highlight w:val="none"/>
              </w:rPr>
            </w:pPr>
          </w:p>
        </w:tc>
        <w:tc>
          <w:tcPr>
            <w:tcW w:w="1516" w:type="dxa"/>
          </w:tcPr>
          <w:p w14:paraId="68C1459D">
            <w:pPr>
              <w:spacing w:line="400" w:lineRule="exact"/>
              <w:jc w:val="center"/>
              <w:rPr>
                <w:rFonts w:hAnsi="宋体"/>
                <w:color w:val="auto"/>
                <w:sz w:val="32"/>
                <w:highlight w:val="none"/>
              </w:rPr>
            </w:pPr>
          </w:p>
        </w:tc>
        <w:tc>
          <w:tcPr>
            <w:tcW w:w="3210" w:type="dxa"/>
          </w:tcPr>
          <w:p w14:paraId="3DE63615">
            <w:pPr>
              <w:spacing w:line="400" w:lineRule="exact"/>
              <w:jc w:val="center"/>
              <w:rPr>
                <w:rFonts w:hAnsi="宋体"/>
                <w:color w:val="auto"/>
                <w:sz w:val="32"/>
                <w:highlight w:val="none"/>
              </w:rPr>
            </w:pPr>
          </w:p>
        </w:tc>
        <w:tc>
          <w:tcPr>
            <w:tcW w:w="1642" w:type="dxa"/>
          </w:tcPr>
          <w:p w14:paraId="038066E9">
            <w:pPr>
              <w:spacing w:line="400" w:lineRule="exact"/>
              <w:jc w:val="center"/>
              <w:rPr>
                <w:rFonts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4"/>
        <w:rPr>
          <w:color w:val="auto"/>
          <w:highlight w:val="none"/>
        </w:rPr>
      </w:pPr>
    </w:p>
    <w:p w14:paraId="1321A526">
      <w:pPr>
        <w:pStyle w:val="14"/>
        <w:rPr>
          <w:color w:val="auto"/>
          <w:highlight w:val="none"/>
        </w:rPr>
      </w:pPr>
    </w:p>
    <w:p w14:paraId="3092BD82">
      <w:pPr>
        <w:pStyle w:val="14"/>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4"/>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76FD29EE">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31639888">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7C9D9B21">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18EB577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DF98940">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F300E7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513E420">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74E7D99">
            <w:pPr>
              <w:widowControl/>
              <w:spacing w:line="360" w:lineRule="atLeast"/>
              <w:ind w:firstLine="487" w:firstLineChars="196"/>
              <w:jc w:val="left"/>
              <w:outlineLvl w:val="1"/>
              <w:rPr>
                <w:rFonts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202C7AE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40DB0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C0520F1">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A4A4BA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08FF984">
            <w:pPr>
              <w:widowControl/>
              <w:spacing w:line="360" w:lineRule="atLeast"/>
              <w:ind w:firstLine="487" w:firstLineChars="196"/>
              <w:jc w:val="left"/>
              <w:outlineLvl w:val="1"/>
              <w:rPr>
                <w:rFonts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F4C36B4">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D9340F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FB37D1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B51864D">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74C2DA2">
            <w:pPr>
              <w:widowControl/>
              <w:spacing w:line="360" w:lineRule="atLeast"/>
              <w:ind w:firstLine="487" w:firstLineChars="196"/>
              <w:jc w:val="left"/>
              <w:outlineLvl w:val="1"/>
              <w:rPr>
                <w:rFonts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1D3E3C61">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F32B118">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0BDCFA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3C6C59B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8C01A8A">
            <w:pPr>
              <w:widowControl/>
              <w:spacing w:line="360" w:lineRule="atLeast"/>
              <w:ind w:firstLine="487" w:firstLineChars="196"/>
              <w:jc w:val="left"/>
              <w:outlineLvl w:val="1"/>
              <w:rPr>
                <w:rFonts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3A8910A">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6A67FDC">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2A7E53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DFE3B80">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674CE56">
            <w:pPr>
              <w:widowControl/>
              <w:spacing w:line="360" w:lineRule="atLeast"/>
              <w:ind w:firstLine="487" w:firstLineChars="196"/>
              <w:jc w:val="left"/>
              <w:outlineLvl w:val="1"/>
              <w:rPr>
                <w:rFonts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62D5A100">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1264D0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E87E81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2F51283">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55AE6C9">
            <w:pPr>
              <w:widowControl/>
              <w:spacing w:line="360" w:lineRule="atLeast"/>
              <w:ind w:firstLine="487" w:firstLineChars="196"/>
              <w:jc w:val="left"/>
              <w:outlineLvl w:val="1"/>
              <w:rPr>
                <w:rFonts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8FF0A8A">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CCF075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74692E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6846C40">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41CB201">
            <w:pPr>
              <w:widowControl/>
              <w:spacing w:line="360" w:lineRule="atLeast"/>
              <w:ind w:firstLine="487" w:firstLineChars="196"/>
              <w:jc w:val="left"/>
              <w:outlineLvl w:val="1"/>
              <w:rPr>
                <w:rFonts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665DB0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7087C01">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98E8253">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7ADCBA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38CA267">
            <w:pPr>
              <w:widowControl/>
              <w:spacing w:line="360" w:lineRule="atLeast"/>
              <w:ind w:firstLine="487" w:firstLineChars="196"/>
              <w:jc w:val="left"/>
              <w:outlineLvl w:val="1"/>
              <w:rPr>
                <w:rFonts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2BB53F7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63AE88B">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7B19401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6ECDDF8">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DA04127">
            <w:pPr>
              <w:widowControl/>
              <w:spacing w:line="360" w:lineRule="atLeast"/>
              <w:ind w:firstLine="487" w:firstLineChars="196"/>
              <w:jc w:val="left"/>
              <w:outlineLvl w:val="1"/>
              <w:rPr>
                <w:rFonts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DFC4F3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91AD9C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985088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3E6FE4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AA94D97">
            <w:pPr>
              <w:widowControl/>
              <w:spacing w:line="360" w:lineRule="atLeast"/>
              <w:ind w:firstLine="487" w:firstLineChars="196"/>
              <w:jc w:val="left"/>
              <w:outlineLvl w:val="1"/>
              <w:rPr>
                <w:rFonts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8508BC3">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224CA8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2B94DA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3F82D99">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D2C53EC">
            <w:pPr>
              <w:widowControl/>
              <w:spacing w:line="360" w:lineRule="atLeast"/>
              <w:ind w:firstLine="487" w:firstLineChars="196"/>
              <w:jc w:val="left"/>
              <w:outlineLvl w:val="1"/>
              <w:rPr>
                <w:rFonts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7C6A1D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52EEF70">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AAA16E4">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0AB7135">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63362FF">
            <w:pPr>
              <w:widowControl/>
              <w:spacing w:line="360" w:lineRule="atLeast"/>
              <w:ind w:firstLine="487" w:firstLineChars="196"/>
              <w:jc w:val="left"/>
              <w:outlineLvl w:val="1"/>
              <w:rPr>
                <w:rFonts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BBF83E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577146C">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9871AC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18F22E0">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F2E5486">
            <w:pPr>
              <w:widowControl/>
              <w:spacing w:line="360" w:lineRule="atLeast"/>
              <w:ind w:firstLine="487" w:firstLineChars="196"/>
              <w:jc w:val="left"/>
              <w:outlineLvl w:val="1"/>
              <w:rPr>
                <w:rFonts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208404F6">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03103EB8">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5084DEFE">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widowControl/>
              <w:spacing w:line="360" w:lineRule="atLeast"/>
              <w:ind w:firstLine="487" w:firstLineChars="196"/>
              <w:jc w:val="left"/>
              <w:rPr>
                <w:rFonts w:ascii="宋体"/>
                <w:color w:val="auto"/>
                <w:sz w:val="24"/>
                <w:highlight w:val="none"/>
              </w:rPr>
            </w:pPr>
          </w:p>
        </w:tc>
        <w:tc>
          <w:tcPr>
            <w:tcW w:w="1144" w:type="dxa"/>
          </w:tcPr>
          <w:p w14:paraId="337E1E84">
            <w:pPr>
              <w:widowControl/>
              <w:spacing w:line="360" w:lineRule="atLeast"/>
              <w:ind w:firstLine="487" w:firstLineChars="196"/>
              <w:jc w:val="left"/>
              <w:rPr>
                <w:rFonts w:ascii="宋体"/>
                <w:color w:val="auto"/>
                <w:sz w:val="24"/>
                <w:highlight w:val="none"/>
              </w:rPr>
            </w:pPr>
          </w:p>
        </w:tc>
        <w:tc>
          <w:tcPr>
            <w:tcW w:w="2268" w:type="dxa"/>
          </w:tcPr>
          <w:p w14:paraId="0745039C">
            <w:pPr>
              <w:widowControl/>
              <w:spacing w:line="360" w:lineRule="atLeast"/>
              <w:ind w:firstLine="487" w:firstLineChars="196"/>
              <w:jc w:val="left"/>
              <w:rPr>
                <w:rFonts w:ascii="宋体"/>
                <w:color w:val="auto"/>
                <w:sz w:val="24"/>
                <w:highlight w:val="none"/>
              </w:rPr>
            </w:pPr>
          </w:p>
        </w:tc>
        <w:tc>
          <w:tcPr>
            <w:tcW w:w="2829" w:type="dxa"/>
          </w:tcPr>
          <w:p w14:paraId="67CD1E42">
            <w:pPr>
              <w:widowControl/>
              <w:spacing w:line="360" w:lineRule="atLeast"/>
              <w:ind w:firstLine="487" w:firstLineChars="196"/>
              <w:jc w:val="left"/>
              <w:rPr>
                <w:rFonts w:ascii="宋体"/>
                <w:color w:val="auto"/>
                <w:sz w:val="24"/>
                <w:highlight w:val="none"/>
              </w:rPr>
            </w:pPr>
          </w:p>
        </w:tc>
        <w:tc>
          <w:tcPr>
            <w:tcW w:w="1614" w:type="dxa"/>
          </w:tcPr>
          <w:p w14:paraId="1F1410A4">
            <w:pPr>
              <w:widowControl/>
              <w:spacing w:line="360" w:lineRule="atLeast"/>
              <w:ind w:firstLine="487" w:firstLineChars="196"/>
              <w:jc w:val="left"/>
              <w:rPr>
                <w:rFonts w:ascii="宋体"/>
                <w:color w:val="auto"/>
                <w:sz w:val="24"/>
                <w:highlight w:val="none"/>
              </w:rPr>
            </w:pPr>
          </w:p>
        </w:tc>
        <w:tc>
          <w:tcPr>
            <w:tcW w:w="1614" w:type="dxa"/>
          </w:tcPr>
          <w:p w14:paraId="78130C6B">
            <w:pPr>
              <w:widowControl/>
              <w:spacing w:line="360" w:lineRule="atLeast"/>
              <w:ind w:firstLine="487" w:firstLineChars="196"/>
              <w:jc w:val="left"/>
              <w:rPr>
                <w:rFonts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widowControl/>
              <w:spacing w:line="360" w:lineRule="atLeast"/>
              <w:ind w:firstLine="487" w:firstLineChars="196"/>
              <w:jc w:val="left"/>
              <w:rPr>
                <w:rFonts w:ascii="宋体"/>
                <w:color w:val="auto"/>
                <w:sz w:val="24"/>
                <w:highlight w:val="none"/>
              </w:rPr>
            </w:pPr>
          </w:p>
        </w:tc>
        <w:tc>
          <w:tcPr>
            <w:tcW w:w="1144" w:type="dxa"/>
          </w:tcPr>
          <w:p w14:paraId="24BFE11F">
            <w:pPr>
              <w:widowControl/>
              <w:spacing w:line="360" w:lineRule="atLeast"/>
              <w:ind w:firstLine="487" w:firstLineChars="196"/>
              <w:jc w:val="left"/>
              <w:rPr>
                <w:rFonts w:ascii="宋体"/>
                <w:color w:val="auto"/>
                <w:sz w:val="24"/>
                <w:highlight w:val="none"/>
              </w:rPr>
            </w:pPr>
          </w:p>
        </w:tc>
        <w:tc>
          <w:tcPr>
            <w:tcW w:w="2268" w:type="dxa"/>
          </w:tcPr>
          <w:p w14:paraId="019FCDA5">
            <w:pPr>
              <w:widowControl/>
              <w:spacing w:line="360" w:lineRule="atLeast"/>
              <w:ind w:firstLine="487" w:firstLineChars="196"/>
              <w:jc w:val="left"/>
              <w:rPr>
                <w:rFonts w:ascii="宋体"/>
                <w:color w:val="auto"/>
                <w:sz w:val="24"/>
                <w:highlight w:val="none"/>
              </w:rPr>
            </w:pPr>
          </w:p>
        </w:tc>
        <w:tc>
          <w:tcPr>
            <w:tcW w:w="2829" w:type="dxa"/>
          </w:tcPr>
          <w:p w14:paraId="73F46236">
            <w:pPr>
              <w:widowControl/>
              <w:spacing w:line="360" w:lineRule="atLeast"/>
              <w:ind w:firstLine="487" w:firstLineChars="196"/>
              <w:jc w:val="left"/>
              <w:rPr>
                <w:rFonts w:ascii="宋体"/>
                <w:color w:val="auto"/>
                <w:sz w:val="24"/>
                <w:highlight w:val="none"/>
              </w:rPr>
            </w:pPr>
          </w:p>
        </w:tc>
        <w:tc>
          <w:tcPr>
            <w:tcW w:w="1614" w:type="dxa"/>
          </w:tcPr>
          <w:p w14:paraId="1701549D">
            <w:pPr>
              <w:widowControl/>
              <w:spacing w:line="360" w:lineRule="atLeast"/>
              <w:ind w:firstLine="487" w:firstLineChars="196"/>
              <w:jc w:val="left"/>
              <w:rPr>
                <w:rFonts w:ascii="宋体"/>
                <w:color w:val="auto"/>
                <w:sz w:val="24"/>
                <w:highlight w:val="none"/>
              </w:rPr>
            </w:pPr>
          </w:p>
        </w:tc>
        <w:tc>
          <w:tcPr>
            <w:tcW w:w="1614" w:type="dxa"/>
          </w:tcPr>
          <w:p w14:paraId="3D55FA3E">
            <w:pPr>
              <w:widowControl/>
              <w:spacing w:line="360" w:lineRule="atLeast"/>
              <w:ind w:firstLine="487" w:firstLineChars="196"/>
              <w:jc w:val="left"/>
              <w:rPr>
                <w:rFonts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widowControl/>
              <w:spacing w:line="360" w:lineRule="atLeast"/>
              <w:ind w:firstLine="487" w:firstLineChars="196"/>
              <w:jc w:val="left"/>
              <w:rPr>
                <w:rFonts w:ascii="宋体"/>
                <w:color w:val="auto"/>
                <w:sz w:val="24"/>
                <w:highlight w:val="none"/>
              </w:rPr>
            </w:pPr>
          </w:p>
        </w:tc>
        <w:tc>
          <w:tcPr>
            <w:tcW w:w="1144" w:type="dxa"/>
          </w:tcPr>
          <w:p w14:paraId="43682F29">
            <w:pPr>
              <w:widowControl/>
              <w:spacing w:line="360" w:lineRule="atLeast"/>
              <w:ind w:firstLine="487" w:firstLineChars="196"/>
              <w:jc w:val="left"/>
              <w:rPr>
                <w:rFonts w:ascii="宋体"/>
                <w:color w:val="auto"/>
                <w:sz w:val="24"/>
                <w:highlight w:val="none"/>
              </w:rPr>
            </w:pPr>
          </w:p>
        </w:tc>
        <w:tc>
          <w:tcPr>
            <w:tcW w:w="2268" w:type="dxa"/>
          </w:tcPr>
          <w:p w14:paraId="517107E2">
            <w:pPr>
              <w:widowControl/>
              <w:spacing w:line="360" w:lineRule="atLeast"/>
              <w:ind w:firstLine="487" w:firstLineChars="196"/>
              <w:jc w:val="left"/>
              <w:rPr>
                <w:rFonts w:ascii="宋体"/>
                <w:color w:val="auto"/>
                <w:sz w:val="24"/>
                <w:highlight w:val="none"/>
              </w:rPr>
            </w:pPr>
          </w:p>
        </w:tc>
        <w:tc>
          <w:tcPr>
            <w:tcW w:w="2829" w:type="dxa"/>
          </w:tcPr>
          <w:p w14:paraId="1E62BC37">
            <w:pPr>
              <w:widowControl/>
              <w:spacing w:line="360" w:lineRule="atLeast"/>
              <w:ind w:firstLine="487" w:firstLineChars="196"/>
              <w:jc w:val="left"/>
              <w:rPr>
                <w:rFonts w:ascii="宋体"/>
                <w:color w:val="auto"/>
                <w:sz w:val="24"/>
                <w:highlight w:val="none"/>
              </w:rPr>
            </w:pPr>
          </w:p>
        </w:tc>
        <w:tc>
          <w:tcPr>
            <w:tcW w:w="1614" w:type="dxa"/>
          </w:tcPr>
          <w:p w14:paraId="28E4F062">
            <w:pPr>
              <w:widowControl/>
              <w:spacing w:line="360" w:lineRule="atLeast"/>
              <w:ind w:firstLine="487" w:firstLineChars="196"/>
              <w:jc w:val="left"/>
              <w:rPr>
                <w:rFonts w:ascii="宋体"/>
                <w:color w:val="auto"/>
                <w:sz w:val="24"/>
                <w:highlight w:val="none"/>
              </w:rPr>
            </w:pPr>
          </w:p>
        </w:tc>
        <w:tc>
          <w:tcPr>
            <w:tcW w:w="1614" w:type="dxa"/>
          </w:tcPr>
          <w:p w14:paraId="668A3B76">
            <w:pPr>
              <w:widowControl/>
              <w:spacing w:line="360" w:lineRule="atLeast"/>
              <w:ind w:firstLine="487" w:firstLineChars="196"/>
              <w:jc w:val="left"/>
              <w:rPr>
                <w:rFonts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widowControl/>
              <w:spacing w:line="360" w:lineRule="atLeast"/>
              <w:ind w:firstLine="487" w:firstLineChars="196"/>
              <w:jc w:val="left"/>
              <w:rPr>
                <w:rFonts w:ascii="宋体"/>
                <w:color w:val="auto"/>
                <w:sz w:val="24"/>
                <w:highlight w:val="none"/>
              </w:rPr>
            </w:pPr>
          </w:p>
        </w:tc>
        <w:tc>
          <w:tcPr>
            <w:tcW w:w="1144" w:type="dxa"/>
          </w:tcPr>
          <w:p w14:paraId="5C937ECC">
            <w:pPr>
              <w:widowControl/>
              <w:spacing w:line="360" w:lineRule="atLeast"/>
              <w:ind w:firstLine="487" w:firstLineChars="196"/>
              <w:jc w:val="left"/>
              <w:rPr>
                <w:rFonts w:ascii="宋体"/>
                <w:color w:val="auto"/>
                <w:sz w:val="24"/>
                <w:highlight w:val="none"/>
              </w:rPr>
            </w:pPr>
          </w:p>
        </w:tc>
        <w:tc>
          <w:tcPr>
            <w:tcW w:w="2268" w:type="dxa"/>
          </w:tcPr>
          <w:p w14:paraId="3F04EF9B">
            <w:pPr>
              <w:widowControl/>
              <w:spacing w:line="360" w:lineRule="atLeast"/>
              <w:ind w:firstLine="487" w:firstLineChars="196"/>
              <w:jc w:val="left"/>
              <w:rPr>
                <w:rFonts w:ascii="宋体"/>
                <w:color w:val="auto"/>
                <w:sz w:val="24"/>
                <w:highlight w:val="none"/>
              </w:rPr>
            </w:pPr>
          </w:p>
        </w:tc>
        <w:tc>
          <w:tcPr>
            <w:tcW w:w="2829" w:type="dxa"/>
          </w:tcPr>
          <w:p w14:paraId="2E5EBF2C">
            <w:pPr>
              <w:widowControl/>
              <w:spacing w:line="360" w:lineRule="atLeast"/>
              <w:ind w:firstLine="487" w:firstLineChars="196"/>
              <w:jc w:val="left"/>
              <w:rPr>
                <w:rFonts w:ascii="宋体"/>
                <w:color w:val="auto"/>
                <w:sz w:val="24"/>
                <w:highlight w:val="none"/>
              </w:rPr>
            </w:pPr>
          </w:p>
        </w:tc>
        <w:tc>
          <w:tcPr>
            <w:tcW w:w="1614" w:type="dxa"/>
          </w:tcPr>
          <w:p w14:paraId="3CE732B7">
            <w:pPr>
              <w:widowControl/>
              <w:spacing w:line="360" w:lineRule="atLeast"/>
              <w:ind w:firstLine="487" w:firstLineChars="196"/>
              <w:jc w:val="left"/>
              <w:rPr>
                <w:rFonts w:ascii="宋体"/>
                <w:color w:val="auto"/>
                <w:sz w:val="24"/>
                <w:highlight w:val="none"/>
              </w:rPr>
            </w:pPr>
          </w:p>
        </w:tc>
        <w:tc>
          <w:tcPr>
            <w:tcW w:w="1614" w:type="dxa"/>
          </w:tcPr>
          <w:p w14:paraId="5534D515">
            <w:pPr>
              <w:widowControl/>
              <w:spacing w:line="360" w:lineRule="atLeast"/>
              <w:ind w:firstLine="487" w:firstLineChars="196"/>
              <w:jc w:val="left"/>
              <w:rPr>
                <w:rFonts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widowControl/>
              <w:spacing w:line="360" w:lineRule="atLeast"/>
              <w:ind w:firstLine="487" w:firstLineChars="196"/>
              <w:jc w:val="left"/>
              <w:rPr>
                <w:rFonts w:ascii="宋体"/>
                <w:color w:val="auto"/>
                <w:sz w:val="24"/>
                <w:highlight w:val="none"/>
              </w:rPr>
            </w:pPr>
          </w:p>
        </w:tc>
        <w:tc>
          <w:tcPr>
            <w:tcW w:w="1144" w:type="dxa"/>
          </w:tcPr>
          <w:p w14:paraId="036E11E7">
            <w:pPr>
              <w:widowControl/>
              <w:spacing w:line="360" w:lineRule="atLeast"/>
              <w:ind w:firstLine="487" w:firstLineChars="196"/>
              <w:jc w:val="left"/>
              <w:rPr>
                <w:rFonts w:ascii="宋体"/>
                <w:color w:val="auto"/>
                <w:sz w:val="24"/>
                <w:highlight w:val="none"/>
              </w:rPr>
            </w:pPr>
          </w:p>
        </w:tc>
        <w:tc>
          <w:tcPr>
            <w:tcW w:w="2268" w:type="dxa"/>
          </w:tcPr>
          <w:p w14:paraId="14BFAF66">
            <w:pPr>
              <w:widowControl/>
              <w:spacing w:line="360" w:lineRule="atLeast"/>
              <w:ind w:firstLine="487" w:firstLineChars="196"/>
              <w:jc w:val="left"/>
              <w:rPr>
                <w:rFonts w:ascii="宋体"/>
                <w:color w:val="auto"/>
                <w:sz w:val="24"/>
                <w:highlight w:val="none"/>
              </w:rPr>
            </w:pPr>
          </w:p>
        </w:tc>
        <w:tc>
          <w:tcPr>
            <w:tcW w:w="2829" w:type="dxa"/>
          </w:tcPr>
          <w:p w14:paraId="6F600219">
            <w:pPr>
              <w:widowControl/>
              <w:spacing w:line="360" w:lineRule="atLeast"/>
              <w:ind w:firstLine="487" w:firstLineChars="196"/>
              <w:jc w:val="left"/>
              <w:rPr>
                <w:rFonts w:ascii="宋体"/>
                <w:color w:val="auto"/>
                <w:sz w:val="24"/>
                <w:highlight w:val="none"/>
              </w:rPr>
            </w:pPr>
          </w:p>
        </w:tc>
        <w:tc>
          <w:tcPr>
            <w:tcW w:w="1614" w:type="dxa"/>
          </w:tcPr>
          <w:p w14:paraId="35CA46E2">
            <w:pPr>
              <w:widowControl/>
              <w:spacing w:line="360" w:lineRule="atLeast"/>
              <w:ind w:firstLine="487" w:firstLineChars="196"/>
              <w:jc w:val="left"/>
              <w:rPr>
                <w:rFonts w:ascii="宋体"/>
                <w:color w:val="auto"/>
                <w:sz w:val="24"/>
                <w:highlight w:val="none"/>
              </w:rPr>
            </w:pPr>
          </w:p>
        </w:tc>
        <w:tc>
          <w:tcPr>
            <w:tcW w:w="1614" w:type="dxa"/>
          </w:tcPr>
          <w:p w14:paraId="18F6C3E1">
            <w:pPr>
              <w:widowControl/>
              <w:spacing w:line="360" w:lineRule="atLeast"/>
              <w:ind w:firstLine="487" w:firstLineChars="196"/>
              <w:jc w:val="left"/>
              <w:rPr>
                <w:rFonts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widowControl/>
              <w:spacing w:line="360" w:lineRule="atLeast"/>
              <w:ind w:firstLine="487" w:firstLineChars="196"/>
              <w:jc w:val="left"/>
              <w:rPr>
                <w:rFonts w:ascii="宋体"/>
                <w:color w:val="auto"/>
                <w:sz w:val="24"/>
                <w:highlight w:val="none"/>
              </w:rPr>
            </w:pPr>
          </w:p>
        </w:tc>
        <w:tc>
          <w:tcPr>
            <w:tcW w:w="1144" w:type="dxa"/>
          </w:tcPr>
          <w:p w14:paraId="3B309782">
            <w:pPr>
              <w:widowControl/>
              <w:spacing w:line="360" w:lineRule="atLeast"/>
              <w:ind w:firstLine="487" w:firstLineChars="196"/>
              <w:jc w:val="left"/>
              <w:rPr>
                <w:rFonts w:ascii="宋体"/>
                <w:color w:val="auto"/>
                <w:sz w:val="24"/>
                <w:highlight w:val="none"/>
              </w:rPr>
            </w:pPr>
          </w:p>
        </w:tc>
        <w:tc>
          <w:tcPr>
            <w:tcW w:w="2268" w:type="dxa"/>
          </w:tcPr>
          <w:p w14:paraId="42199B06">
            <w:pPr>
              <w:widowControl/>
              <w:spacing w:line="360" w:lineRule="atLeast"/>
              <w:ind w:firstLine="487" w:firstLineChars="196"/>
              <w:jc w:val="left"/>
              <w:rPr>
                <w:rFonts w:ascii="宋体"/>
                <w:color w:val="auto"/>
                <w:sz w:val="24"/>
                <w:highlight w:val="none"/>
              </w:rPr>
            </w:pPr>
          </w:p>
        </w:tc>
        <w:tc>
          <w:tcPr>
            <w:tcW w:w="2829" w:type="dxa"/>
          </w:tcPr>
          <w:p w14:paraId="666FB243">
            <w:pPr>
              <w:widowControl/>
              <w:spacing w:line="360" w:lineRule="atLeast"/>
              <w:ind w:firstLine="487" w:firstLineChars="196"/>
              <w:jc w:val="left"/>
              <w:rPr>
                <w:rFonts w:ascii="宋体"/>
                <w:color w:val="auto"/>
                <w:sz w:val="24"/>
                <w:highlight w:val="none"/>
              </w:rPr>
            </w:pPr>
          </w:p>
        </w:tc>
        <w:tc>
          <w:tcPr>
            <w:tcW w:w="1614" w:type="dxa"/>
          </w:tcPr>
          <w:p w14:paraId="56FA8F8C">
            <w:pPr>
              <w:widowControl/>
              <w:spacing w:line="360" w:lineRule="atLeast"/>
              <w:ind w:firstLine="487" w:firstLineChars="196"/>
              <w:jc w:val="left"/>
              <w:rPr>
                <w:rFonts w:ascii="宋体"/>
                <w:color w:val="auto"/>
                <w:sz w:val="24"/>
                <w:highlight w:val="none"/>
              </w:rPr>
            </w:pPr>
          </w:p>
        </w:tc>
        <w:tc>
          <w:tcPr>
            <w:tcW w:w="1614" w:type="dxa"/>
          </w:tcPr>
          <w:p w14:paraId="79C4C761">
            <w:pPr>
              <w:widowControl/>
              <w:spacing w:line="360" w:lineRule="atLeast"/>
              <w:ind w:firstLine="487" w:firstLineChars="196"/>
              <w:jc w:val="left"/>
              <w:rPr>
                <w:rFonts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widowControl/>
              <w:spacing w:line="360" w:lineRule="atLeast"/>
              <w:ind w:firstLine="487" w:firstLineChars="196"/>
              <w:jc w:val="left"/>
              <w:rPr>
                <w:rFonts w:ascii="宋体"/>
                <w:color w:val="auto"/>
                <w:sz w:val="24"/>
                <w:highlight w:val="none"/>
              </w:rPr>
            </w:pPr>
          </w:p>
        </w:tc>
        <w:tc>
          <w:tcPr>
            <w:tcW w:w="1144" w:type="dxa"/>
          </w:tcPr>
          <w:p w14:paraId="0A1E565B">
            <w:pPr>
              <w:widowControl/>
              <w:spacing w:line="360" w:lineRule="atLeast"/>
              <w:ind w:firstLine="487" w:firstLineChars="196"/>
              <w:jc w:val="left"/>
              <w:rPr>
                <w:rFonts w:ascii="宋体"/>
                <w:color w:val="auto"/>
                <w:sz w:val="24"/>
                <w:highlight w:val="none"/>
              </w:rPr>
            </w:pPr>
          </w:p>
        </w:tc>
        <w:tc>
          <w:tcPr>
            <w:tcW w:w="2268" w:type="dxa"/>
          </w:tcPr>
          <w:p w14:paraId="43720D5A">
            <w:pPr>
              <w:widowControl/>
              <w:spacing w:line="360" w:lineRule="atLeast"/>
              <w:ind w:firstLine="487" w:firstLineChars="196"/>
              <w:jc w:val="left"/>
              <w:rPr>
                <w:rFonts w:ascii="宋体"/>
                <w:color w:val="auto"/>
                <w:sz w:val="24"/>
                <w:highlight w:val="none"/>
              </w:rPr>
            </w:pPr>
          </w:p>
        </w:tc>
        <w:tc>
          <w:tcPr>
            <w:tcW w:w="2829" w:type="dxa"/>
          </w:tcPr>
          <w:p w14:paraId="551C200E">
            <w:pPr>
              <w:widowControl/>
              <w:spacing w:line="360" w:lineRule="atLeast"/>
              <w:ind w:firstLine="487" w:firstLineChars="196"/>
              <w:jc w:val="left"/>
              <w:rPr>
                <w:rFonts w:ascii="宋体"/>
                <w:color w:val="auto"/>
                <w:sz w:val="24"/>
                <w:highlight w:val="none"/>
              </w:rPr>
            </w:pPr>
          </w:p>
        </w:tc>
        <w:tc>
          <w:tcPr>
            <w:tcW w:w="1614" w:type="dxa"/>
          </w:tcPr>
          <w:p w14:paraId="369E4A3D">
            <w:pPr>
              <w:widowControl/>
              <w:spacing w:line="360" w:lineRule="atLeast"/>
              <w:ind w:firstLine="487" w:firstLineChars="196"/>
              <w:jc w:val="left"/>
              <w:rPr>
                <w:rFonts w:ascii="宋体"/>
                <w:color w:val="auto"/>
                <w:sz w:val="24"/>
                <w:highlight w:val="none"/>
              </w:rPr>
            </w:pPr>
          </w:p>
        </w:tc>
        <w:tc>
          <w:tcPr>
            <w:tcW w:w="1614" w:type="dxa"/>
          </w:tcPr>
          <w:p w14:paraId="3EE859E0">
            <w:pPr>
              <w:widowControl/>
              <w:spacing w:line="360" w:lineRule="atLeast"/>
              <w:ind w:firstLine="487" w:firstLineChars="196"/>
              <w:jc w:val="left"/>
              <w:rPr>
                <w:rFonts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76736029"/>
      <w:bookmarkStart w:id="40" w:name="_Toc453578493"/>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spacing w:line="300" w:lineRule="exact"/>
              <w:jc w:val="center"/>
              <w:rPr>
                <w:rFonts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spacing w:line="300" w:lineRule="exact"/>
              <w:jc w:val="center"/>
              <w:rPr>
                <w:rFonts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spacing w:line="300" w:lineRule="exact"/>
              <w:jc w:val="center"/>
              <w:rPr>
                <w:rFonts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spacing w:line="300" w:lineRule="exact"/>
              <w:jc w:val="center"/>
              <w:rPr>
                <w:rFonts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spacing w:line="300" w:lineRule="exact"/>
              <w:jc w:val="center"/>
              <w:rPr>
                <w:rFonts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spacing w:line="300" w:lineRule="exact"/>
              <w:jc w:val="center"/>
              <w:rPr>
                <w:rFonts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40"/>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b/>
          <w:color w:val="auto"/>
          <w:sz w:val="28"/>
          <w:szCs w:val="28"/>
          <w:highlight w:val="none"/>
        </w:rPr>
      </w:pPr>
      <w:r>
        <w:rPr>
          <w:rFonts w:hint="eastAsia"/>
          <w:b/>
          <w:color w:val="auto"/>
          <w:sz w:val="28"/>
          <w:szCs w:val="28"/>
          <w:highlight w:val="none"/>
        </w:rPr>
        <w:t>项目概况</w:t>
      </w:r>
    </w:p>
    <w:p w14:paraId="413BB757">
      <w:pPr>
        <w:pStyle w:val="149"/>
        <w:ind w:right="439" w:firstLine="498" w:firstLineChars="200"/>
        <w:rPr>
          <w:b/>
          <w:color w:val="auto"/>
          <w:sz w:val="28"/>
          <w:szCs w:val="28"/>
          <w:highlight w:val="none"/>
        </w:rPr>
      </w:pPr>
      <w:r>
        <w:rPr>
          <w:rFonts w:hint="eastAsia" w:asciiTheme="minorEastAsia" w:hAnsiTheme="minorEastAsia" w:eastAsiaTheme="minorEastAsia"/>
          <w:bCs/>
          <w:color w:val="auto"/>
          <w:highlight w:val="none"/>
        </w:rPr>
        <w:t>我院使用年限达到15年及以上的电梯共有18台（见附件一），属于老旧电梯。电梯因使用年限长造成零部件老化、严重磨损，除运行不稳定外，还存在严重安全隐患。电梯一旦发生事故，造成的财产损失和社会影响非常大。需委托专业机构对老旧电梯进行安全评估，并出具评估结论报告，报告中应有明确的评估结论，并对评估发现的安全问题提出整改要求、期限与建议措施，为电梯维修改造、更换提供依据。</w:t>
      </w:r>
    </w:p>
    <w:tbl>
      <w:tblPr>
        <w:tblStyle w:val="4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5365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56A69EFE">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包号</w:t>
            </w:r>
          </w:p>
        </w:tc>
        <w:tc>
          <w:tcPr>
            <w:tcW w:w="1024" w:type="dxa"/>
            <w:vAlign w:val="center"/>
          </w:tcPr>
          <w:p w14:paraId="181300AF">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品目号</w:t>
            </w:r>
          </w:p>
        </w:tc>
        <w:tc>
          <w:tcPr>
            <w:tcW w:w="1633" w:type="dxa"/>
            <w:vAlign w:val="center"/>
          </w:tcPr>
          <w:p w14:paraId="08309B6A">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275BD813">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0832C1F4">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单价</w:t>
            </w:r>
          </w:p>
          <w:p w14:paraId="7A3B756C">
            <w:pPr>
              <w:autoSpaceDE w:val="0"/>
              <w:autoSpaceDN w:val="0"/>
              <w:adjustRightInd w:val="0"/>
              <w:spacing w:line="400" w:lineRule="exact"/>
              <w:jc w:val="center"/>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万元</w:t>
            </w:r>
            <w:r>
              <w:rPr>
                <w:rFonts w:ascii="宋体" w:hAnsi="宋体"/>
                <w:color w:val="auto"/>
                <w:kern w:val="0"/>
                <w:sz w:val="24"/>
                <w:highlight w:val="none"/>
              </w:rPr>
              <w:t>）</w:t>
            </w:r>
          </w:p>
        </w:tc>
        <w:tc>
          <w:tcPr>
            <w:tcW w:w="1260" w:type="dxa"/>
            <w:vAlign w:val="center"/>
          </w:tcPr>
          <w:p w14:paraId="3CEADFF1">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总价</w:t>
            </w:r>
          </w:p>
          <w:p w14:paraId="15FB2AA1">
            <w:pPr>
              <w:autoSpaceDE w:val="0"/>
              <w:autoSpaceDN w:val="0"/>
              <w:adjustRightInd w:val="0"/>
              <w:spacing w:line="400" w:lineRule="exact"/>
              <w:jc w:val="center"/>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万元</w:t>
            </w:r>
            <w:r>
              <w:rPr>
                <w:rFonts w:ascii="宋体" w:hAnsi="宋体"/>
                <w:color w:val="auto"/>
                <w:kern w:val="0"/>
                <w:sz w:val="24"/>
                <w:highlight w:val="none"/>
              </w:rPr>
              <w:t>）</w:t>
            </w:r>
          </w:p>
        </w:tc>
        <w:tc>
          <w:tcPr>
            <w:tcW w:w="1290" w:type="dxa"/>
            <w:vAlign w:val="center"/>
          </w:tcPr>
          <w:p w14:paraId="7304DE5B">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最高限价</w:t>
            </w:r>
          </w:p>
          <w:p w14:paraId="007843AD">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483DF30C">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科室</w:t>
            </w:r>
          </w:p>
        </w:tc>
      </w:tr>
      <w:tr w14:paraId="04CD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7C5FCBA5">
            <w:pPr>
              <w:autoSpaceDE w:val="0"/>
              <w:autoSpaceDN w:val="0"/>
              <w:adjustRightInd w:val="0"/>
              <w:jc w:val="center"/>
              <w:rPr>
                <w:color w:val="auto"/>
                <w:sz w:val="24"/>
                <w:highlight w:val="none"/>
              </w:rPr>
            </w:pPr>
            <w:r>
              <w:rPr>
                <w:rFonts w:hint="eastAsia"/>
                <w:color w:val="auto"/>
                <w:sz w:val="24"/>
                <w:highlight w:val="none"/>
              </w:rPr>
              <w:t>01</w:t>
            </w:r>
          </w:p>
        </w:tc>
        <w:tc>
          <w:tcPr>
            <w:tcW w:w="1024" w:type="dxa"/>
            <w:vAlign w:val="center"/>
          </w:tcPr>
          <w:p w14:paraId="3A72EC69">
            <w:pPr>
              <w:autoSpaceDE w:val="0"/>
              <w:autoSpaceDN w:val="0"/>
              <w:adjustRightInd w:val="0"/>
              <w:jc w:val="center"/>
              <w:rPr>
                <w:color w:val="auto"/>
                <w:sz w:val="24"/>
                <w:highlight w:val="none"/>
              </w:rPr>
            </w:pPr>
            <w:r>
              <w:rPr>
                <w:rFonts w:hint="eastAsia"/>
                <w:color w:val="auto"/>
                <w:sz w:val="24"/>
                <w:highlight w:val="none"/>
              </w:rPr>
              <w:t>01-01</w:t>
            </w:r>
          </w:p>
        </w:tc>
        <w:tc>
          <w:tcPr>
            <w:tcW w:w="1633" w:type="dxa"/>
            <w:vAlign w:val="center"/>
          </w:tcPr>
          <w:p w14:paraId="5626CB9F">
            <w:pPr>
              <w:autoSpaceDE w:val="0"/>
              <w:autoSpaceDN w:val="0"/>
              <w:adjustRightInd w:val="0"/>
              <w:jc w:val="center"/>
              <w:rPr>
                <w:color w:val="auto"/>
                <w:sz w:val="24"/>
                <w:highlight w:val="none"/>
              </w:rPr>
            </w:pPr>
            <w:r>
              <w:rPr>
                <w:rFonts w:hint="eastAsia"/>
                <w:color w:val="auto"/>
                <w:sz w:val="24"/>
                <w:highlight w:val="none"/>
              </w:rPr>
              <w:t>老旧电梯安全评估服务</w:t>
            </w:r>
          </w:p>
        </w:tc>
        <w:tc>
          <w:tcPr>
            <w:tcW w:w="825" w:type="dxa"/>
            <w:vAlign w:val="center"/>
          </w:tcPr>
          <w:p w14:paraId="2C1D66DD">
            <w:pPr>
              <w:autoSpaceDE w:val="0"/>
              <w:autoSpaceDN w:val="0"/>
              <w:adjustRightInd w:val="0"/>
              <w:jc w:val="center"/>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项</w:t>
            </w:r>
          </w:p>
        </w:tc>
        <w:tc>
          <w:tcPr>
            <w:tcW w:w="1200" w:type="dxa"/>
            <w:vAlign w:val="center"/>
          </w:tcPr>
          <w:p w14:paraId="604E82CD">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7.5</w:t>
            </w:r>
          </w:p>
        </w:tc>
        <w:tc>
          <w:tcPr>
            <w:tcW w:w="1260" w:type="dxa"/>
            <w:vAlign w:val="center"/>
          </w:tcPr>
          <w:p w14:paraId="5C603F08">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7</w:t>
            </w:r>
            <w:r>
              <w:rPr>
                <w:rFonts w:ascii="宋体" w:hAnsi="宋体"/>
                <w:color w:val="auto"/>
                <w:kern w:val="0"/>
                <w:sz w:val="24"/>
                <w:highlight w:val="none"/>
              </w:rPr>
              <w:t>.5</w:t>
            </w:r>
          </w:p>
        </w:tc>
        <w:tc>
          <w:tcPr>
            <w:tcW w:w="1290" w:type="dxa"/>
            <w:vAlign w:val="center"/>
          </w:tcPr>
          <w:p w14:paraId="636E2B00">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7</w:t>
            </w:r>
            <w:r>
              <w:rPr>
                <w:rFonts w:ascii="宋体" w:hAnsi="宋体"/>
                <w:color w:val="auto"/>
                <w:kern w:val="0"/>
                <w:sz w:val="24"/>
                <w:highlight w:val="none"/>
              </w:rPr>
              <w:t>.5</w:t>
            </w:r>
          </w:p>
        </w:tc>
        <w:tc>
          <w:tcPr>
            <w:tcW w:w="1515" w:type="dxa"/>
            <w:vAlign w:val="center"/>
          </w:tcPr>
          <w:p w14:paraId="2DAA0053">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rPr>
              <w:t>动力运行科</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1977CA1E">
      <w:pPr>
        <w:pStyle w:val="18"/>
        <w:spacing w:before="241" w:beforeLines="50" w:after="241" w:afterLines="50" w:line="460" w:lineRule="exact"/>
        <w:rPr>
          <w:color w:val="auto"/>
          <w:highlight w:val="none"/>
        </w:rPr>
      </w:pPr>
      <w:r>
        <w:rPr>
          <w:rFonts w:hint="eastAsia"/>
          <w:color w:val="auto"/>
          <w:highlight w:val="none"/>
        </w:rPr>
        <w:t>1.本项目最高限价为人民币75000元，包括安全评估费和整改后的复评费用。</w:t>
      </w:r>
    </w:p>
    <w:p w14:paraId="46B99776">
      <w:pPr>
        <w:pStyle w:val="18"/>
        <w:spacing w:before="241" w:beforeLines="50" w:after="241" w:afterLines="50" w:line="460" w:lineRule="exact"/>
        <w:rPr>
          <w:color w:val="auto"/>
          <w:highlight w:val="none"/>
        </w:rPr>
      </w:pPr>
      <w:r>
        <w:rPr>
          <w:rFonts w:hint="eastAsia"/>
          <w:color w:val="auto"/>
          <w:highlight w:val="none"/>
        </w:rPr>
        <w:t>2.付款方式：交付全部电梯安全评估报告后，由采购方组织验收合格后，并扣除相关违约金后，中标人提供正规发票，医院按照流程报账（其中验收合格后首次支付中标金额的80%，其余20%复评后支付）。</w:t>
      </w:r>
    </w:p>
    <w:p w14:paraId="6DE7FCDF">
      <w:pPr>
        <w:pStyle w:val="18"/>
        <w:spacing w:before="241" w:beforeLines="50" w:after="241" w:afterLines="50" w:line="460" w:lineRule="exact"/>
        <w:rPr>
          <w:color w:val="auto"/>
          <w:highlight w:val="none"/>
        </w:rPr>
      </w:pPr>
      <w:r>
        <w:rPr>
          <w:rFonts w:hint="eastAsia"/>
          <w:color w:val="auto"/>
          <w:highlight w:val="none"/>
        </w:rPr>
        <w:t>3.本项目不包括评估后电梯的维修及整改费用。</w:t>
      </w:r>
    </w:p>
    <w:p w14:paraId="3EE9ECD9">
      <w:pPr>
        <w:pStyle w:val="18"/>
        <w:spacing w:before="241" w:beforeLines="50" w:after="241" w:afterLines="50" w:line="460" w:lineRule="exact"/>
        <w:rPr>
          <w:color w:val="auto"/>
          <w:highlight w:val="none"/>
        </w:rPr>
      </w:pPr>
      <w:r>
        <w:rPr>
          <w:rFonts w:hint="eastAsia"/>
          <w:color w:val="auto"/>
          <w:highlight w:val="none"/>
        </w:rPr>
        <w:t>4.投标人应先到现场踏勘，以充分了解项目实施位置、情况、及任何其他足以影响报价的情况，任何因忽视或误解现场情况而导致的索赔申请将被拒绝。</w:t>
      </w:r>
    </w:p>
    <w:p w14:paraId="47405EE0">
      <w:pPr>
        <w:pStyle w:val="18"/>
        <w:spacing w:before="241" w:beforeLines="50" w:after="241" w:afterLines="50" w:line="460" w:lineRule="exact"/>
        <w:rPr>
          <w:color w:val="auto"/>
          <w:highlight w:val="none"/>
        </w:rPr>
      </w:pPr>
      <w:r>
        <w:rPr>
          <w:rFonts w:hint="eastAsia"/>
          <w:color w:val="auto"/>
          <w:highlight w:val="none"/>
        </w:rPr>
        <w:t>5.本项目现场评估工期为20天，中标方必须在规定时间内完成评估任务（由于采购方原因除外）。中标方以客观、公正的评估，评估完成后20个工作日内向采购方提供评估报告书。</w:t>
      </w:r>
    </w:p>
    <w:p w14:paraId="3D8EEC69">
      <w:pPr>
        <w:pStyle w:val="18"/>
        <w:spacing w:before="241" w:beforeLines="50" w:after="241" w:afterLines="50" w:line="460" w:lineRule="exact"/>
        <w:rPr>
          <w:color w:val="auto"/>
          <w:highlight w:val="none"/>
        </w:rPr>
      </w:pPr>
      <w:r>
        <w:rPr>
          <w:rFonts w:hint="eastAsia"/>
          <w:color w:val="auto"/>
          <w:highlight w:val="none"/>
        </w:rPr>
        <w:t>6.施工时间不影响医院相关活动，以采购方通知时间为准。</w:t>
      </w:r>
    </w:p>
    <w:p w14:paraId="474A08B6">
      <w:pPr>
        <w:pStyle w:val="18"/>
        <w:spacing w:before="241" w:beforeLines="50" w:after="241" w:afterLines="50" w:line="460" w:lineRule="exact"/>
        <w:rPr>
          <w:color w:val="auto"/>
          <w:highlight w:val="none"/>
        </w:rPr>
      </w:pPr>
      <w:r>
        <w:rPr>
          <w:rFonts w:hint="eastAsia"/>
          <w:color w:val="auto"/>
          <w:highlight w:val="none"/>
        </w:rPr>
        <w:t>7.中标方在结束当日工程时，必须将施工现场全部清理完毕，施工垃圾全部运出现场，废旧物品拉至采购方指定地点由采购方处理，并将施工现场恢复到原状。</w:t>
      </w:r>
    </w:p>
    <w:p w14:paraId="06F339A5">
      <w:pPr>
        <w:pStyle w:val="18"/>
        <w:spacing w:before="241" w:beforeLines="50" w:after="241" w:afterLines="50" w:line="460" w:lineRule="exact"/>
        <w:rPr>
          <w:color w:val="auto"/>
          <w:highlight w:val="none"/>
        </w:rPr>
      </w:pPr>
      <w:r>
        <w:rPr>
          <w:rFonts w:hint="eastAsia"/>
          <w:color w:val="auto"/>
          <w:highlight w:val="none"/>
        </w:rPr>
        <w:t>8.高处作业时，禁止上下投掷物品，防止掉物伤人。</w:t>
      </w:r>
    </w:p>
    <w:p w14:paraId="42DB477C">
      <w:pPr>
        <w:pStyle w:val="18"/>
        <w:spacing w:before="241" w:beforeLines="50" w:after="241" w:afterLines="50" w:line="460" w:lineRule="exact"/>
        <w:rPr>
          <w:color w:val="auto"/>
          <w:highlight w:val="none"/>
          <w:lang w:val="zh-CN"/>
        </w:rPr>
      </w:pPr>
      <w:r>
        <w:rPr>
          <w:rFonts w:hint="eastAsia"/>
          <w:color w:val="auto"/>
          <w:highlight w:val="none"/>
        </w:rPr>
        <w:t>9.本项目无质保期。</w:t>
      </w:r>
    </w:p>
    <w:p w14:paraId="35A38647">
      <w:pPr>
        <w:pStyle w:val="18"/>
        <w:spacing w:before="241" w:beforeLines="50" w:after="241" w:afterLines="50" w:line="460" w:lineRule="exact"/>
        <w:rPr>
          <w:color w:val="auto"/>
          <w:highlight w:val="none"/>
        </w:rPr>
      </w:pPr>
      <w:r>
        <w:rPr>
          <w:rFonts w:hint="eastAsia"/>
          <w:color w:val="auto"/>
          <w:highlight w:val="none"/>
        </w:rPr>
        <w:t>10.验收方法和标准</w:t>
      </w:r>
    </w:p>
    <w:p w14:paraId="0A7290B7">
      <w:pPr>
        <w:pStyle w:val="18"/>
        <w:spacing w:before="241" w:beforeLines="50" w:after="241" w:afterLines="50" w:line="460" w:lineRule="exact"/>
        <w:rPr>
          <w:color w:val="auto"/>
          <w:highlight w:val="none"/>
        </w:rPr>
      </w:pPr>
      <w:r>
        <w:rPr>
          <w:rFonts w:hint="eastAsia"/>
          <w:color w:val="auto"/>
          <w:highlight w:val="none"/>
        </w:rPr>
        <w:t>依据合同约定、采购及响应文件的商务要求、质量要求、技术指标及中标方的响应承诺进行项目验收。</w:t>
      </w:r>
    </w:p>
    <w:p w14:paraId="7B3C977F">
      <w:pPr>
        <w:pStyle w:val="18"/>
        <w:spacing w:before="241" w:beforeLines="50" w:after="241" w:afterLines="50" w:line="460" w:lineRule="exact"/>
        <w:rPr>
          <w:color w:val="auto"/>
          <w:highlight w:val="none"/>
        </w:rPr>
      </w:pPr>
      <w:r>
        <w:rPr>
          <w:rFonts w:hint="eastAsia"/>
          <w:color w:val="auto"/>
          <w:highlight w:val="none"/>
        </w:rPr>
        <w:t>11.知识产权</w:t>
      </w:r>
    </w:p>
    <w:p w14:paraId="1E638EB6">
      <w:pPr>
        <w:pStyle w:val="18"/>
        <w:spacing w:before="241" w:beforeLines="50" w:after="241" w:afterLines="50" w:line="460" w:lineRule="exact"/>
        <w:rPr>
          <w:color w:val="auto"/>
          <w:highlight w:val="none"/>
        </w:rPr>
      </w:pPr>
      <w:r>
        <w:rPr>
          <w:rFonts w:hint="eastAsia"/>
          <w:color w:val="auto"/>
          <w:highlight w:val="none"/>
        </w:rPr>
        <w:t>中标方应保证在本项目使用的任何产品和服务（包括部分使用）时，不会产生因第三方提出侵犯其专利权、商标权或其它知识产权而引起的法律和经济纠纷，如因专利权、商标权或其它知识产权而引起法律和经济纠纷，由中标方承担所有相关责任。</w:t>
      </w:r>
    </w:p>
    <w:p w14:paraId="3568EE1F">
      <w:pPr>
        <w:pStyle w:val="18"/>
        <w:spacing w:before="241" w:beforeLines="50" w:after="241" w:afterLines="50" w:line="460" w:lineRule="exact"/>
        <w:rPr>
          <w:color w:val="auto"/>
          <w:highlight w:val="none"/>
        </w:rPr>
      </w:pPr>
      <w:r>
        <w:rPr>
          <w:rFonts w:hint="eastAsia"/>
          <w:color w:val="auto"/>
          <w:highlight w:val="none"/>
        </w:rPr>
        <w:t>本项目知识产权归采购人所有。</w:t>
      </w:r>
    </w:p>
    <w:p w14:paraId="04225DFB">
      <w:pPr>
        <w:pStyle w:val="18"/>
        <w:spacing w:before="241" w:beforeLines="50" w:after="241" w:afterLines="50" w:line="460" w:lineRule="exact"/>
        <w:rPr>
          <w:color w:val="auto"/>
          <w:highlight w:val="none"/>
        </w:rPr>
      </w:pPr>
      <w:bookmarkStart w:id="42" w:name="_Toc15656"/>
      <w:r>
        <w:rPr>
          <w:rFonts w:hint="eastAsia"/>
          <w:color w:val="auto"/>
          <w:highlight w:val="none"/>
        </w:rPr>
        <w:t>12.违约</w:t>
      </w:r>
      <w:bookmarkEnd w:id="42"/>
      <w:r>
        <w:rPr>
          <w:rFonts w:hint="eastAsia"/>
          <w:color w:val="auto"/>
          <w:highlight w:val="none"/>
        </w:rPr>
        <w:t>责任</w:t>
      </w:r>
    </w:p>
    <w:p w14:paraId="1B3C2863">
      <w:pPr>
        <w:pStyle w:val="18"/>
        <w:spacing w:before="241" w:beforeLines="50" w:after="241" w:afterLines="50" w:line="460" w:lineRule="exact"/>
        <w:rPr>
          <w:color w:val="auto"/>
          <w:highlight w:val="none"/>
        </w:rPr>
      </w:pPr>
      <w:r>
        <w:rPr>
          <w:rFonts w:hint="eastAsia"/>
          <w:color w:val="auto"/>
          <w:highlight w:val="none"/>
        </w:rPr>
        <w:t>12.1中标方在施工过程中接受采购方的监督，对存在的问题及时整改，否则采购方有权每次要求中标方赔偿违约金100-500元不等，同一问题超过3次未整改到位采购方有权终止合同并要求中标方赔偿违约金不低于1万元</w:t>
      </w:r>
      <w:r>
        <w:rPr>
          <w:rFonts w:hint="eastAsia"/>
          <w:color w:val="auto"/>
          <w:highlight w:val="none"/>
          <w:lang w:val="zh-CN"/>
        </w:rPr>
        <w:t>，</w:t>
      </w:r>
      <w:r>
        <w:rPr>
          <w:rFonts w:hint="eastAsia"/>
          <w:color w:val="auto"/>
          <w:highlight w:val="none"/>
        </w:rPr>
        <w:t>同时由此而造成的损失和责任由中标方承担。</w:t>
      </w:r>
    </w:p>
    <w:p w14:paraId="3C343778">
      <w:pPr>
        <w:pStyle w:val="18"/>
        <w:spacing w:before="241" w:beforeLines="50" w:after="241" w:afterLines="50" w:line="460" w:lineRule="exact"/>
        <w:rPr>
          <w:color w:val="auto"/>
          <w:highlight w:val="none"/>
        </w:rPr>
      </w:pPr>
      <w:r>
        <w:rPr>
          <w:rFonts w:hint="eastAsia"/>
          <w:color w:val="auto"/>
          <w:highlight w:val="none"/>
        </w:rPr>
        <w:t>12.2中标方</w:t>
      </w:r>
      <w:r>
        <w:rPr>
          <w:rFonts w:hint="eastAsia"/>
          <w:color w:val="auto"/>
          <w:highlight w:val="none"/>
          <w:lang w:val="zh-CN"/>
        </w:rPr>
        <w:t>未按照规范和标准进行评估服务和出具报告，</w:t>
      </w:r>
      <w:r>
        <w:rPr>
          <w:rFonts w:hint="eastAsia"/>
          <w:color w:val="auto"/>
          <w:highlight w:val="none"/>
        </w:rPr>
        <w:t>采购人有权单方面解除合同且不再支付合同费用，以及有权要求中标方赔偿违约金不低于1万元，同时由此而造成的损失和责任都由中标方承担。</w:t>
      </w:r>
    </w:p>
    <w:p w14:paraId="6CFA7923">
      <w:pPr>
        <w:pStyle w:val="18"/>
        <w:spacing w:before="241" w:beforeLines="50" w:after="241" w:afterLines="50" w:line="460" w:lineRule="exact"/>
        <w:rPr>
          <w:color w:val="auto"/>
          <w:highlight w:val="none"/>
        </w:rPr>
      </w:pPr>
      <w:r>
        <w:rPr>
          <w:rFonts w:hint="eastAsia"/>
          <w:color w:val="auto"/>
          <w:highlight w:val="none"/>
        </w:rPr>
        <w:t>12.3本服务从签订合同后正式进场</w:t>
      </w:r>
      <w:r>
        <w:rPr>
          <w:rFonts w:hint="eastAsia"/>
          <w:color w:val="auto"/>
          <w:highlight w:val="none"/>
          <w:lang w:eastAsia="zh-CN"/>
        </w:rPr>
        <w:t>评估</w:t>
      </w:r>
      <w:r>
        <w:rPr>
          <w:rFonts w:hint="eastAsia"/>
          <w:color w:val="auto"/>
          <w:highlight w:val="none"/>
        </w:rPr>
        <w:t>算起工期为20天（进场时间为签订合同后一周内，但由于医院施工特殊情况，医院有权变更施工时间，中标方必须全力配合） 施工进度表结合施工现场条件及采购人要求而定。中标方必须在规定时间内完成，否则每超过一天医院有权要求中标方按中标总价的1%赔偿违约金，累计超过10天医院有权终止合同</w:t>
      </w:r>
      <w:r>
        <w:rPr>
          <w:rFonts w:hint="eastAsia"/>
          <w:color w:val="auto"/>
          <w:highlight w:val="none"/>
          <w:lang w:val="zh-CN"/>
        </w:rPr>
        <w:t>，</w:t>
      </w:r>
      <w:r>
        <w:rPr>
          <w:rFonts w:hint="eastAsia"/>
          <w:color w:val="auto"/>
          <w:highlight w:val="none"/>
        </w:rPr>
        <w:t>并有权要求中标方赔偿违约金不低于1万元</w:t>
      </w:r>
      <w:r>
        <w:rPr>
          <w:rFonts w:hint="eastAsia"/>
          <w:color w:val="auto"/>
          <w:highlight w:val="none"/>
          <w:lang w:val="zh-CN"/>
        </w:rPr>
        <w:t>，</w:t>
      </w:r>
      <w:r>
        <w:rPr>
          <w:rFonts w:hint="eastAsia"/>
          <w:color w:val="auto"/>
          <w:highlight w:val="none"/>
        </w:rPr>
        <w:t>同时由此而造成的损失和责任由中标方承担。</w:t>
      </w:r>
    </w:p>
    <w:p w14:paraId="60364ECF">
      <w:pPr>
        <w:pStyle w:val="18"/>
        <w:spacing w:before="241" w:beforeLines="50" w:after="241" w:afterLines="50" w:line="460" w:lineRule="exact"/>
        <w:rPr>
          <w:color w:val="auto"/>
          <w:highlight w:val="none"/>
        </w:rPr>
      </w:pPr>
      <w:r>
        <w:rPr>
          <w:rFonts w:hint="eastAsia"/>
          <w:color w:val="auto"/>
          <w:highlight w:val="none"/>
        </w:rPr>
        <w:t>12.4乙方不得以任何理由分包、转包给第三方(包括第三方公司和个人)，一经发现，视为违约。甲方将有权单方面解除合同，并由乙方承担由此而产生的所有损失及责任，且甲方有权要求乙方赔偿违约金不低于2万元。</w:t>
      </w:r>
    </w:p>
    <w:p w14:paraId="561F2843">
      <w:pPr>
        <w:pStyle w:val="18"/>
        <w:spacing w:before="241" w:beforeLines="50" w:after="241" w:afterLines="50" w:line="460" w:lineRule="exact"/>
        <w:rPr>
          <w:color w:val="auto"/>
          <w:highlight w:val="none"/>
        </w:rPr>
      </w:pPr>
      <w:r>
        <w:rPr>
          <w:rFonts w:hint="eastAsia"/>
          <w:color w:val="auto"/>
          <w:highlight w:val="none"/>
        </w:rPr>
        <w:t>12.5乙方必须委派具有相应资质的从业人员为甲方提供服务并做好员工的安全生产教育，承担安全生产责任。必须严格遵守安全生产操作规程和相关技术规范进行，做好安全管理、防护工作，并为己方人员购买必要的保险。作业中应当负责落实现场安全防护措施，保证作业安全。乙方在维修维护、评估等工作中应保障自身安全，若在施工过程中发生的所有安全事故，包括乙方工作人员发生的安全事故、给甲方或第三方造成人身、财产损失及由此引发的行政处罚等，均由乙方承担全部责任及费用，采购人不承担经济、法律、道义上的任何责任及费用。</w:t>
      </w:r>
    </w:p>
    <w:p w14:paraId="6BAD5A5D">
      <w:pPr>
        <w:pStyle w:val="18"/>
        <w:spacing w:before="241" w:beforeLines="50" w:after="241" w:afterLines="50" w:line="460" w:lineRule="exact"/>
        <w:rPr>
          <w:color w:val="auto"/>
          <w:highlight w:val="none"/>
        </w:rPr>
      </w:pPr>
      <w:r>
        <w:rPr>
          <w:rFonts w:hint="eastAsia"/>
          <w:color w:val="auto"/>
          <w:highlight w:val="none"/>
        </w:rPr>
        <w:t>12.6中标方不得损坏采购方财产，否则按损坏情况照价赔偿。</w:t>
      </w:r>
    </w:p>
    <w:p w14:paraId="299C8F43">
      <w:pPr>
        <w:pStyle w:val="18"/>
        <w:spacing w:before="241" w:beforeLines="50" w:after="241" w:afterLines="50" w:line="460" w:lineRule="exact"/>
        <w:rPr>
          <w:color w:val="auto"/>
          <w:highlight w:val="none"/>
          <w:lang w:val="zh-CN"/>
        </w:rPr>
      </w:pPr>
      <w:bookmarkStart w:id="43" w:name="_Toc217446069"/>
      <w:r>
        <w:rPr>
          <w:rFonts w:hint="eastAsia"/>
          <w:color w:val="auto"/>
          <w:highlight w:val="none"/>
        </w:rPr>
        <w:t>13.履行合同</w:t>
      </w:r>
      <w:bookmarkEnd w:id="43"/>
    </w:p>
    <w:p w14:paraId="3E4017F1">
      <w:pPr>
        <w:pStyle w:val="18"/>
        <w:spacing w:before="241" w:beforeLines="50" w:after="241" w:afterLines="50" w:line="460" w:lineRule="exact"/>
        <w:rPr>
          <w:color w:val="auto"/>
          <w:highlight w:val="none"/>
          <w:lang w:val="zh-CN"/>
        </w:rPr>
      </w:pPr>
      <w:r>
        <w:rPr>
          <w:rFonts w:hint="eastAsia"/>
          <w:color w:val="auto"/>
          <w:highlight w:val="none"/>
        </w:rPr>
        <w:t>13.1中标人与采购人签订合同后，合同双方应严格执行合同条款，履行合同规定的义务，保证合同的顺利完成。由于中标人原因造成合同不能继续履行，且采购人有权追究其造成的一切损失和责任，并有权要求中标人赔偿违约金不低于1万元。</w:t>
      </w:r>
    </w:p>
    <w:p w14:paraId="7C70055B">
      <w:pPr>
        <w:pStyle w:val="18"/>
        <w:spacing w:before="241" w:beforeLines="50" w:after="241" w:afterLines="50" w:line="460" w:lineRule="exact"/>
        <w:rPr>
          <w:color w:val="auto"/>
          <w:highlight w:val="none"/>
        </w:rPr>
      </w:pPr>
      <w:r>
        <w:rPr>
          <w:rFonts w:hint="eastAsia"/>
          <w:color w:val="auto"/>
          <w:highlight w:val="none"/>
        </w:rPr>
        <w:t>13.2在合同履行过程中，如发生合同纠纷，合同双方应按照《中华人民共和国民法典》的有关规定进行处理。</w:t>
      </w:r>
    </w:p>
    <w:p w14:paraId="4A42E265">
      <w:pPr>
        <w:pStyle w:val="18"/>
        <w:spacing w:before="241" w:beforeLines="50" w:after="241" w:afterLines="50" w:line="460" w:lineRule="exact"/>
        <w:rPr>
          <w:color w:val="auto"/>
          <w:highlight w:val="none"/>
        </w:rPr>
      </w:pPr>
      <w:r>
        <w:rPr>
          <w:rFonts w:hint="eastAsia"/>
          <w:color w:val="auto"/>
          <w:highlight w:val="none"/>
        </w:rPr>
        <w:t>14.争议解决办法</w:t>
      </w:r>
    </w:p>
    <w:p w14:paraId="3494A5C8">
      <w:pPr>
        <w:pStyle w:val="18"/>
        <w:spacing w:before="241" w:beforeLines="50" w:after="241" w:afterLines="50" w:line="460" w:lineRule="exact"/>
        <w:rPr>
          <w:color w:val="auto"/>
          <w:highlight w:val="none"/>
        </w:rPr>
      </w:pPr>
      <w:r>
        <w:rPr>
          <w:rFonts w:hint="eastAsia"/>
          <w:color w:val="auto"/>
          <w:highlight w:val="none"/>
        </w:rPr>
        <w:t>合同履行期间,若双方发生争议，可协商或由有关部门调解解决，协商或调解不成的，任何一方均可向甲方所在地的人民法院起诉。</w:t>
      </w:r>
    </w:p>
    <w:p w14:paraId="6A175466">
      <w:pPr>
        <w:pStyle w:val="18"/>
        <w:spacing w:before="241" w:beforeLines="50" w:after="241" w:afterLines="50" w:line="460" w:lineRule="exact"/>
        <w:rPr>
          <w:color w:val="auto"/>
          <w:highlight w:val="none"/>
        </w:rPr>
      </w:pPr>
      <w:r>
        <w:rPr>
          <w:color w:val="auto"/>
          <w:highlight w:val="none"/>
        </w:rPr>
        <w:br w:type="page"/>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40D9CA0B">
      <w:pPr>
        <w:spacing w:line="360" w:lineRule="auto"/>
        <w:rPr>
          <w:rFonts w:ascii="宋体" w:hAnsi="宋体"/>
          <w:color w:val="auto"/>
          <w:sz w:val="24"/>
          <w:highlight w:val="none"/>
        </w:rPr>
      </w:pPr>
      <w:r>
        <w:rPr>
          <w:rFonts w:hint="eastAsia" w:ascii="宋体" w:hAnsi="宋体"/>
          <w:color w:val="auto"/>
          <w:sz w:val="24"/>
          <w:highlight w:val="none"/>
        </w:rPr>
        <w:t>1.评估依据</w:t>
      </w:r>
    </w:p>
    <w:p w14:paraId="21C97116">
      <w:pPr>
        <w:spacing w:line="360" w:lineRule="auto"/>
        <w:rPr>
          <w:rFonts w:ascii="宋体" w:hAnsi="宋体"/>
          <w:color w:val="auto"/>
          <w:sz w:val="24"/>
          <w:highlight w:val="none"/>
        </w:rPr>
      </w:pPr>
      <w:r>
        <w:rPr>
          <w:rFonts w:hint="eastAsia" w:ascii="宋体" w:hAnsi="宋体"/>
          <w:color w:val="auto"/>
          <w:sz w:val="24"/>
          <w:highlight w:val="none"/>
        </w:rPr>
        <w:t>安全评估流程必须符合</w:t>
      </w:r>
      <w:r>
        <w:rPr>
          <w:rFonts w:hint="eastAsia" w:ascii="宋体" w:hAnsi="宋体"/>
          <w:bCs/>
          <w:color w:val="auto"/>
          <w:sz w:val="24"/>
          <w:highlight w:val="none"/>
        </w:rPr>
        <w:t>按照</w:t>
      </w:r>
      <w:r>
        <w:rPr>
          <w:rFonts w:hint="eastAsia" w:ascii="宋体" w:hAnsi="宋体"/>
          <w:color w:val="auto"/>
          <w:sz w:val="24"/>
          <w:highlight w:val="none"/>
        </w:rPr>
        <w:t>《电梯安全评估规范》DB51/T 2188-2016、</w:t>
      </w:r>
      <w:r>
        <w:rPr>
          <w:rFonts w:hint="eastAsia" w:ascii="宋体" w:hAnsi="宋体"/>
          <w:bCs/>
          <w:color w:val="auto"/>
          <w:sz w:val="24"/>
          <w:highlight w:val="none"/>
        </w:rPr>
        <w:t>《电梯制造与安装安全规范》等标准规范，如有最新标准则按照最新标准执行</w:t>
      </w:r>
      <w:r>
        <w:rPr>
          <w:rFonts w:hint="eastAsia" w:ascii="宋体" w:hAnsi="宋体"/>
          <w:color w:val="auto"/>
          <w:sz w:val="24"/>
          <w:highlight w:val="none"/>
        </w:rPr>
        <w:t>。</w:t>
      </w:r>
    </w:p>
    <w:p w14:paraId="09460E7A">
      <w:pPr>
        <w:tabs>
          <w:tab w:val="left" w:pos="6150"/>
        </w:tabs>
        <w:spacing w:line="360" w:lineRule="auto"/>
        <w:rPr>
          <w:rFonts w:ascii="宋体" w:hAnsi="宋体"/>
          <w:color w:val="auto"/>
          <w:sz w:val="24"/>
          <w:highlight w:val="none"/>
        </w:rPr>
      </w:pPr>
      <w:r>
        <w:rPr>
          <w:rFonts w:hint="eastAsia" w:ascii="宋体" w:hAnsi="宋体"/>
          <w:color w:val="auto"/>
          <w:sz w:val="24"/>
          <w:highlight w:val="none"/>
        </w:rPr>
        <w:t>2.评估主要内容</w:t>
      </w:r>
    </w:p>
    <w:p w14:paraId="772FD330">
      <w:pPr>
        <w:spacing w:line="360" w:lineRule="auto"/>
        <w:rPr>
          <w:rFonts w:ascii="宋体" w:hAnsi="宋体"/>
          <w:color w:val="auto"/>
          <w:sz w:val="24"/>
          <w:highlight w:val="none"/>
        </w:rPr>
      </w:pPr>
      <w:r>
        <w:rPr>
          <w:rFonts w:hint="eastAsia" w:ascii="宋体" w:hAnsi="宋体"/>
          <w:color w:val="auto"/>
          <w:sz w:val="24"/>
          <w:highlight w:val="none"/>
        </w:rPr>
        <w:t>供应商需完成老旧电梯的安全评估，包括但不限于评估老旧电梯的使用管理状况、</w:t>
      </w:r>
      <w:r>
        <w:rPr>
          <w:rFonts w:hint="eastAsia" w:ascii="宋体" w:hAnsi="宋体" w:cs="宋体"/>
          <w:bCs/>
          <w:color w:val="auto"/>
          <w:kern w:val="0"/>
          <w:sz w:val="24"/>
          <w:highlight w:val="none"/>
        </w:rPr>
        <w:t>机房、警示标志、救援装置、</w:t>
      </w:r>
      <w:r>
        <w:rPr>
          <w:rFonts w:hint="eastAsia" w:ascii="宋体" w:hAnsi="宋体"/>
          <w:color w:val="auto"/>
          <w:sz w:val="24"/>
          <w:highlight w:val="none"/>
        </w:rPr>
        <w:t>电气系统（包括控制柜和电缆）、曳引系统（含驱动主机、制动器、电动机）、门系统（</w:t>
      </w:r>
      <w:r>
        <w:rPr>
          <w:rFonts w:hint="eastAsia" w:ascii="宋体" w:hAnsi="宋体" w:cs="宋体"/>
          <w:bCs/>
          <w:color w:val="auto"/>
          <w:kern w:val="0"/>
          <w:sz w:val="24"/>
          <w:highlight w:val="none"/>
        </w:rPr>
        <w:t>层门、轿门与门锁</w:t>
      </w:r>
      <w:r>
        <w:rPr>
          <w:rFonts w:hint="eastAsia" w:ascii="宋体" w:hAnsi="宋体"/>
          <w:color w:val="auto"/>
          <w:sz w:val="24"/>
          <w:highlight w:val="none"/>
        </w:rPr>
        <w:t>）、安全保护装置系统、</w:t>
      </w:r>
      <w:r>
        <w:rPr>
          <w:rFonts w:hint="eastAsia" w:ascii="宋体" w:hAnsi="宋体" w:cs="宋体"/>
          <w:bCs/>
          <w:color w:val="auto"/>
          <w:kern w:val="0"/>
          <w:sz w:val="24"/>
          <w:highlight w:val="none"/>
        </w:rPr>
        <w:t>对重（平衡重）装置、导轨、悬挂装置、井道、底坑、液压部件</w:t>
      </w:r>
      <w:r>
        <w:rPr>
          <w:rFonts w:hint="eastAsia" w:ascii="宋体" w:hAnsi="宋体"/>
          <w:color w:val="auto"/>
          <w:sz w:val="24"/>
          <w:highlight w:val="none"/>
        </w:rPr>
        <w:t>等各部分的性能状况，以及进行整机性能试验与功能测试。</w:t>
      </w:r>
    </w:p>
    <w:p w14:paraId="0BDE2F31">
      <w:pPr>
        <w:spacing w:line="360" w:lineRule="auto"/>
        <w:rPr>
          <w:rFonts w:ascii="宋体" w:hAnsi="宋体"/>
          <w:color w:val="auto"/>
          <w:sz w:val="24"/>
          <w:highlight w:val="none"/>
        </w:rPr>
      </w:pPr>
      <w:r>
        <w:rPr>
          <w:rFonts w:hint="eastAsia" w:ascii="宋体" w:hAnsi="宋体"/>
          <w:color w:val="auto"/>
          <w:sz w:val="24"/>
          <w:highlight w:val="none"/>
        </w:rPr>
        <w:t>3.出具评估报告（电子档及纸质，每梯各2份）。评估报告应明确评估依据、评估人员及其资质、评估内容、评估结论等，并集合零部件更换情况、技术条件，提出对电梯采取修理和调整、重大修理、改造或者更新的建议，评估报告格式应按照《电梯安全评估规范》DB51/T 2188-2016 等标准的要求（</w:t>
      </w:r>
      <w:r>
        <w:rPr>
          <w:rFonts w:hint="eastAsia" w:ascii="宋体" w:hAnsi="宋体"/>
          <w:bCs/>
          <w:color w:val="auto"/>
          <w:sz w:val="24"/>
          <w:highlight w:val="none"/>
        </w:rPr>
        <w:t>如有最新标准则按照最新标准执行</w:t>
      </w:r>
      <w:r>
        <w:rPr>
          <w:rFonts w:hint="eastAsia" w:ascii="宋体" w:hAnsi="宋体"/>
          <w:color w:val="auto"/>
          <w:sz w:val="24"/>
          <w:highlight w:val="none"/>
        </w:rPr>
        <w:t>）。完成评估工作后，还需提供一份针对所有已评估电梯的总体电梯安全评估情况分析报告。</w:t>
      </w:r>
    </w:p>
    <w:p w14:paraId="07D1A0DA">
      <w:pPr>
        <w:spacing w:line="360" w:lineRule="auto"/>
        <w:rPr>
          <w:color w:val="auto"/>
          <w:highlight w:val="none"/>
        </w:rPr>
      </w:pPr>
      <w:r>
        <w:rPr>
          <w:rFonts w:hint="eastAsia" w:ascii="宋体" w:hAnsi="宋体"/>
          <w:color w:val="auto"/>
          <w:sz w:val="24"/>
          <w:highlight w:val="none"/>
        </w:rPr>
        <w:t>安全评估过程中发现《特种设备安全监督检查办法》所列的重大违法行为或严重事故隐患，应立即上报采购方。</w:t>
      </w:r>
    </w:p>
    <w:p w14:paraId="101205A6">
      <w:pPr>
        <w:spacing w:line="360" w:lineRule="auto"/>
        <w:rPr>
          <w:rFonts w:ascii="宋体" w:hAnsi="宋体"/>
          <w:color w:val="auto"/>
          <w:sz w:val="24"/>
          <w:highlight w:val="none"/>
        </w:rPr>
      </w:pPr>
      <w:r>
        <w:rPr>
          <w:rFonts w:hint="eastAsia" w:ascii="宋体" w:hAnsi="宋体"/>
          <w:color w:val="auto"/>
          <w:sz w:val="24"/>
          <w:highlight w:val="none"/>
        </w:rPr>
        <w:t>4.成交供应商须根据采购人要求，对本项目涉及的需保密的信息和事宜严格保密。</w:t>
      </w:r>
    </w:p>
    <w:p w14:paraId="4C4910AE">
      <w:pPr>
        <w:spacing w:line="360" w:lineRule="auto"/>
        <w:rPr>
          <w:rFonts w:ascii="宋体" w:hAnsi="宋体"/>
          <w:color w:val="auto"/>
          <w:sz w:val="24"/>
          <w:highlight w:val="none"/>
        </w:rPr>
      </w:pPr>
      <w:r>
        <w:rPr>
          <w:rFonts w:hint="eastAsia" w:ascii="宋体" w:hAnsi="宋体"/>
          <w:color w:val="auto"/>
          <w:sz w:val="24"/>
          <w:highlight w:val="none"/>
        </w:rPr>
        <w:t>5.未经采购人同意，成交供应商不得将评估报告中的任何内容用于宣传或发表或其他商业用途。</w:t>
      </w:r>
    </w:p>
    <w:p w14:paraId="68F0F279">
      <w:pPr>
        <w:spacing w:line="360" w:lineRule="auto"/>
        <w:rPr>
          <w:rFonts w:ascii="宋体" w:hAnsi="宋体" w:cs="宋体"/>
          <w:b/>
          <w:bCs/>
          <w:color w:val="auto"/>
          <w:kern w:val="0"/>
          <w:sz w:val="24"/>
          <w:highlight w:val="none"/>
          <w:lang w:bidi="ar"/>
        </w:rPr>
      </w:pPr>
      <w:r>
        <w:rPr>
          <w:rFonts w:hint="eastAsia" w:ascii="宋体" w:hAnsi="宋体"/>
          <w:color w:val="auto"/>
          <w:sz w:val="24"/>
          <w:highlight w:val="none"/>
        </w:rPr>
        <w:t>6.本项目未经采购人同意不得分包。严禁转包，否则，成交供应商承担相应法律责任。</w:t>
      </w: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“★”、“▲”号的参数需提供相关</w:t>
      </w:r>
      <w:r>
        <w:rPr>
          <w:rFonts w:ascii="宋体" w:hAnsi="宋体" w:cs="宋体"/>
          <w:b/>
          <w:color w:val="auto"/>
          <w:sz w:val="24"/>
          <w:highlight w:val="none"/>
        </w:rPr>
        <w:t>佐证资料</w:t>
      </w:r>
      <w:r>
        <w:rPr>
          <w:rFonts w:hint="eastAsia" w:ascii="宋体" w:hAnsi="宋体" w:cs="宋体"/>
          <w:b/>
          <w:color w:val="auto"/>
          <w:sz w:val="24"/>
          <w:highlight w:val="none"/>
        </w:rPr>
        <w:t>,若</w:t>
      </w:r>
      <w:r>
        <w:rPr>
          <w:rFonts w:ascii="宋体" w:hAnsi="宋体" w:cs="宋体"/>
          <w:b/>
          <w:color w:val="auto"/>
          <w:sz w:val="24"/>
          <w:highlight w:val="none"/>
        </w:rPr>
        <w:t>响应参数与投标产品实物不符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8"/>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40"/>
        <w:rPr>
          <w:color w:val="auto"/>
          <w:highlight w:val="none"/>
        </w:rPr>
      </w:pPr>
      <w:bookmarkStart w:id="44" w:name="_Toc134536605"/>
      <w:r>
        <w:rPr>
          <w:rFonts w:hint="eastAsia"/>
          <w:color w:val="auto"/>
          <w:highlight w:val="none"/>
        </w:rPr>
        <w:t>第五章  评审办法</w:t>
      </w:r>
      <w:bookmarkEnd w:id="44"/>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5"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8"/>
        <w:rPr>
          <w:color w:val="auto"/>
          <w:highlight w:val="none"/>
        </w:rPr>
      </w:pPr>
    </w:p>
    <w:bookmarkEnd w:id="45"/>
    <w:p w14:paraId="1032D1AA">
      <w:pPr>
        <w:pStyle w:val="149"/>
        <w:ind w:right="439"/>
        <w:jc w:val="center"/>
        <w:rPr>
          <w:rFonts w:ascii="黑体" w:hAnsi="黑体" w:eastAsia="黑体"/>
          <w:b/>
          <w:color w:val="auto"/>
          <w:highlight w:val="none"/>
        </w:rPr>
      </w:pPr>
      <w:bookmarkStart w:id="46"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0AA854EA">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38F27BBD">
            <w:pPr>
              <w:jc w:val="center"/>
              <w:rPr>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jc w:val="center"/>
              <w:rPr>
                <w:b/>
                <w:color w:val="auto"/>
                <w:sz w:val="24"/>
                <w:highlight w:val="none"/>
              </w:rPr>
            </w:pPr>
          </w:p>
        </w:tc>
        <w:tc>
          <w:tcPr>
            <w:tcW w:w="7117" w:type="dxa"/>
            <w:vMerge w:val="continue"/>
            <w:vAlign w:val="center"/>
          </w:tcPr>
          <w:p w14:paraId="5339F893">
            <w:pPr>
              <w:jc w:val="center"/>
              <w:rPr>
                <w:b/>
                <w:color w:val="auto"/>
                <w:sz w:val="24"/>
                <w:highlight w:val="none"/>
              </w:rPr>
            </w:pPr>
          </w:p>
        </w:tc>
        <w:tc>
          <w:tcPr>
            <w:tcW w:w="850" w:type="dxa"/>
            <w:vAlign w:val="center"/>
          </w:tcPr>
          <w:p w14:paraId="1549471C">
            <w:pPr>
              <w:jc w:val="center"/>
              <w:rPr>
                <w:b/>
                <w:color w:val="auto"/>
                <w:sz w:val="24"/>
                <w:highlight w:val="none"/>
              </w:rPr>
            </w:pPr>
            <w:r>
              <w:rPr>
                <w:rFonts w:hint="eastAsia"/>
                <w:b/>
                <w:color w:val="auto"/>
                <w:sz w:val="24"/>
                <w:highlight w:val="none"/>
              </w:rPr>
              <w:t>通过</w:t>
            </w:r>
          </w:p>
        </w:tc>
        <w:tc>
          <w:tcPr>
            <w:tcW w:w="992" w:type="dxa"/>
            <w:vAlign w:val="center"/>
          </w:tcPr>
          <w:p w14:paraId="47805064">
            <w:pPr>
              <w:jc w:val="center"/>
              <w:rPr>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50FD584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rPr>
                <w:rFonts w:asciiTheme="minorEastAsia" w:hAnsiTheme="minorEastAsia" w:eastAsiaTheme="minorEastAsia" w:cstheme="minorEastAsia"/>
                <w:color w:val="auto"/>
                <w:sz w:val="24"/>
                <w:highlight w:val="none"/>
              </w:rPr>
            </w:pPr>
          </w:p>
        </w:tc>
        <w:tc>
          <w:tcPr>
            <w:tcW w:w="992" w:type="dxa"/>
            <w:vAlign w:val="center"/>
          </w:tcPr>
          <w:p w14:paraId="192DEA13">
            <w:pPr>
              <w:rPr>
                <w:rFonts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12713108">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rPr>
                <w:rFonts w:asciiTheme="minorEastAsia" w:hAnsiTheme="minorEastAsia" w:eastAsiaTheme="minorEastAsia" w:cstheme="minorEastAsia"/>
                <w:color w:val="auto"/>
                <w:sz w:val="24"/>
                <w:highlight w:val="none"/>
              </w:rPr>
            </w:pPr>
          </w:p>
        </w:tc>
        <w:tc>
          <w:tcPr>
            <w:tcW w:w="992" w:type="dxa"/>
            <w:vAlign w:val="center"/>
          </w:tcPr>
          <w:p w14:paraId="3454E5E3">
            <w:pPr>
              <w:rPr>
                <w:rFonts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6E6AA058">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rPr>
                <w:rFonts w:asciiTheme="minorEastAsia" w:hAnsiTheme="minorEastAsia" w:eastAsiaTheme="minorEastAsia" w:cstheme="minorEastAsia"/>
                <w:color w:val="auto"/>
                <w:sz w:val="24"/>
                <w:highlight w:val="none"/>
              </w:rPr>
            </w:pPr>
          </w:p>
        </w:tc>
        <w:tc>
          <w:tcPr>
            <w:tcW w:w="992" w:type="dxa"/>
            <w:vAlign w:val="center"/>
          </w:tcPr>
          <w:p w14:paraId="5F867414">
            <w:pPr>
              <w:rPr>
                <w:rFonts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3D210CD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rPr>
                <w:rFonts w:asciiTheme="minorEastAsia" w:hAnsiTheme="minorEastAsia" w:eastAsiaTheme="minorEastAsia" w:cstheme="minorEastAsia"/>
                <w:color w:val="auto"/>
                <w:sz w:val="24"/>
                <w:highlight w:val="none"/>
              </w:rPr>
            </w:pPr>
          </w:p>
        </w:tc>
        <w:tc>
          <w:tcPr>
            <w:tcW w:w="992" w:type="dxa"/>
            <w:vAlign w:val="center"/>
          </w:tcPr>
          <w:p w14:paraId="795720D0">
            <w:pPr>
              <w:rPr>
                <w:rFonts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4D1B334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rPr>
                <w:rFonts w:asciiTheme="minorEastAsia" w:hAnsiTheme="minorEastAsia" w:eastAsiaTheme="minorEastAsia" w:cstheme="minorEastAsia"/>
                <w:color w:val="auto"/>
                <w:sz w:val="24"/>
                <w:highlight w:val="none"/>
              </w:rPr>
            </w:pPr>
          </w:p>
        </w:tc>
        <w:tc>
          <w:tcPr>
            <w:tcW w:w="992" w:type="dxa"/>
            <w:vAlign w:val="center"/>
          </w:tcPr>
          <w:p w14:paraId="1F184BE7">
            <w:pPr>
              <w:rPr>
                <w:rFonts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599B0FD1">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rPr>
                <w:rFonts w:asciiTheme="minorEastAsia" w:hAnsiTheme="minorEastAsia" w:eastAsiaTheme="minorEastAsia" w:cstheme="minorEastAsia"/>
                <w:color w:val="auto"/>
                <w:sz w:val="24"/>
                <w:highlight w:val="none"/>
              </w:rPr>
            </w:pPr>
          </w:p>
        </w:tc>
        <w:tc>
          <w:tcPr>
            <w:tcW w:w="992" w:type="dxa"/>
            <w:vAlign w:val="center"/>
          </w:tcPr>
          <w:p w14:paraId="329E27D2">
            <w:pPr>
              <w:rPr>
                <w:rFonts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rPr>
                <w:rFonts w:asciiTheme="minorEastAsia" w:hAnsiTheme="minorEastAsia" w:eastAsiaTheme="minorEastAsia" w:cstheme="minorEastAsia"/>
                <w:color w:val="auto"/>
                <w:sz w:val="24"/>
                <w:highlight w:val="none"/>
              </w:rPr>
            </w:pPr>
          </w:p>
        </w:tc>
        <w:tc>
          <w:tcPr>
            <w:tcW w:w="992" w:type="dxa"/>
            <w:vAlign w:val="center"/>
          </w:tcPr>
          <w:p w14:paraId="17A6D06A">
            <w:pPr>
              <w:rPr>
                <w:rFonts w:asciiTheme="minorEastAsia" w:hAnsiTheme="minorEastAsia" w:eastAsiaTheme="minorEastAsia" w:cstheme="minorEastAsia"/>
                <w:color w:val="auto"/>
                <w:sz w:val="24"/>
                <w:highlight w:val="none"/>
              </w:rPr>
            </w:pPr>
          </w:p>
        </w:tc>
      </w:tr>
      <w:tr w14:paraId="3868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40987FA7">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393090D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具有中华人民共和国特种设备检验检测机构核准证，且核准证需包含电梯定期检验项目（TD1）或电梯检测项目（TC或T1）</w:t>
            </w:r>
          </w:p>
        </w:tc>
        <w:tc>
          <w:tcPr>
            <w:tcW w:w="850" w:type="dxa"/>
            <w:vAlign w:val="center"/>
          </w:tcPr>
          <w:p w14:paraId="12F44251">
            <w:pPr>
              <w:rPr>
                <w:rFonts w:asciiTheme="minorEastAsia" w:hAnsiTheme="minorEastAsia" w:eastAsiaTheme="minorEastAsia" w:cstheme="minorEastAsia"/>
                <w:color w:val="auto"/>
                <w:sz w:val="24"/>
                <w:highlight w:val="none"/>
              </w:rPr>
            </w:pPr>
          </w:p>
        </w:tc>
        <w:tc>
          <w:tcPr>
            <w:tcW w:w="992" w:type="dxa"/>
            <w:vAlign w:val="center"/>
          </w:tcPr>
          <w:p w14:paraId="7044A16F">
            <w:pPr>
              <w:rPr>
                <w:rFonts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numPr>
                <w:ilvl w:val="0"/>
                <w:numId w:val="4"/>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2FB61D2">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jc w:val="center"/>
              <w:rPr>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jc w:val="center"/>
              <w:rPr>
                <w:b/>
                <w:color w:val="auto"/>
                <w:sz w:val="24"/>
                <w:highlight w:val="none"/>
              </w:rPr>
            </w:pPr>
          </w:p>
        </w:tc>
        <w:tc>
          <w:tcPr>
            <w:tcW w:w="7117" w:type="dxa"/>
            <w:vMerge w:val="continue"/>
            <w:vAlign w:val="center"/>
          </w:tcPr>
          <w:p w14:paraId="3A7236D0">
            <w:pPr>
              <w:jc w:val="center"/>
              <w:rPr>
                <w:b/>
                <w:color w:val="auto"/>
                <w:sz w:val="24"/>
                <w:highlight w:val="none"/>
              </w:rPr>
            </w:pPr>
          </w:p>
        </w:tc>
        <w:tc>
          <w:tcPr>
            <w:tcW w:w="850" w:type="dxa"/>
            <w:vAlign w:val="center"/>
          </w:tcPr>
          <w:p w14:paraId="362B2483">
            <w:pPr>
              <w:jc w:val="center"/>
              <w:rPr>
                <w:b/>
                <w:color w:val="auto"/>
                <w:sz w:val="24"/>
                <w:highlight w:val="none"/>
              </w:rPr>
            </w:pPr>
            <w:r>
              <w:rPr>
                <w:rFonts w:hint="eastAsia"/>
                <w:b/>
                <w:color w:val="auto"/>
                <w:sz w:val="24"/>
                <w:highlight w:val="none"/>
              </w:rPr>
              <w:t>通过</w:t>
            </w:r>
          </w:p>
        </w:tc>
        <w:tc>
          <w:tcPr>
            <w:tcW w:w="992" w:type="dxa"/>
            <w:vAlign w:val="center"/>
          </w:tcPr>
          <w:p w14:paraId="7AD0F9B5">
            <w:pPr>
              <w:jc w:val="center"/>
              <w:rPr>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jc w:val="center"/>
              <w:rPr>
                <w:color w:val="auto"/>
                <w:sz w:val="24"/>
                <w:highlight w:val="none"/>
              </w:rPr>
            </w:pPr>
            <w:r>
              <w:rPr>
                <w:rFonts w:hint="eastAsia"/>
                <w:color w:val="auto"/>
                <w:sz w:val="24"/>
                <w:highlight w:val="none"/>
              </w:rPr>
              <w:t>1</w:t>
            </w:r>
          </w:p>
        </w:tc>
        <w:tc>
          <w:tcPr>
            <w:tcW w:w="7117" w:type="dxa"/>
            <w:vAlign w:val="center"/>
          </w:tcPr>
          <w:p w14:paraId="31327E7C">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rPr>
                <w:color w:val="auto"/>
                <w:sz w:val="24"/>
                <w:highlight w:val="none"/>
              </w:rPr>
            </w:pPr>
          </w:p>
        </w:tc>
        <w:tc>
          <w:tcPr>
            <w:tcW w:w="992" w:type="dxa"/>
            <w:vAlign w:val="center"/>
          </w:tcPr>
          <w:p w14:paraId="040C18E3">
            <w:pPr>
              <w:rPr>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jc w:val="center"/>
              <w:rPr>
                <w:color w:val="auto"/>
                <w:sz w:val="24"/>
                <w:highlight w:val="none"/>
              </w:rPr>
            </w:pPr>
            <w:r>
              <w:rPr>
                <w:rFonts w:hint="eastAsia"/>
                <w:color w:val="auto"/>
                <w:sz w:val="24"/>
                <w:highlight w:val="none"/>
              </w:rPr>
              <w:t>2</w:t>
            </w:r>
          </w:p>
        </w:tc>
        <w:tc>
          <w:tcPr>
            <w:tcW w:w="7117" w:type="dxa"/>
            <w:vAlign w:val="center"/>
          </w:tcPr>
          <w:p w14:paraId="0A11B663">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rPr>
                <w:color w:val="auto"/>
                <w:sz w:val="24"/>
                <w:highlight w:val="none"/>
              </w:rPr>
            </w:pPr>
          </w:p>
        </w:tc>
        <w:tc>
          <w:tcPr>
            <w:tcW w:w="992" w:type="dxa"/>
            <w:vAlign w:val="center"/>
          </w:tcPr>
          <w:p w14:paraId="0F05C5D9">
            <w:pPr>
              <w:rPr>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jc w:val="center"/>
              <w:rPr>
                <w:color w:val="auto"/>
                <w:sz w:val="24"/>
                <w:highlight w:val="none"/>
              </w:rPr>
            </w:pPr>
            <w:r>
              <w:rPr>
                <w:rFonts w:hint="eastAsia"/>
                <w:color w:val="auto"/>
                <w:sz w:val="24"/>
                <w:highlight w:val="none"/>
              </w:rPr>
              <w:t>3</w:t>
            </w:r>
          </w:p>
        </w:tc>
        <w:tc>
          <w:tcPr>
            <w:tcW w:w="7117" w:type="dxa"/>
            <w:vAlign w:val="center"/>
          </w:tcPr>
          <w:p w14:paraId="2FF32D7C">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rPr>
                <w:color w:val="auto"/>
                <w:sz w:val="24"/>
                <w:highlight w:val="none"/>
              </w:rPr>
            </w:pPr>
          </w:p>
        </w:tc>
        <w:tc>
          <w:tcPr>
            <w:tcW w:w="992" w:type="dxa"/>
            <w:vAlign w:val="center"/>
          </w:tcPr>
          <w:p w14:paraId="2157EEC8">
            <w:pPr>
              <w:rPr>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jc w:val="center"/>
              <w:rPr>
                <w:color w:val="auto"/>
                <w:sz w:val="24"/>
                <w:highlight w:val="none"/>
              </w:rPr>
            </w:pPr>
            <w:r>
              <w:rPr>
                <w:rFonts w:hint="eastAsia"/>
                <w:color w:val="auto"/>
                <w:sz w:val="24"/>
                <w:highlight w:val="none"/>
              </w:rPr>
              <w:t>4</w:t>
            </w:r>
          </w:p>
        </w:tc>
        <w:tc>
          <w:tcPr>
            <w:tcW w:w="7117" w:type="dxa"/>
            <w:vAlign w:val="center"/>
          </w:tcPr>
          <w:p w14:paraId="7DCD8A45">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38EB09DB">
            <w:pPr>
              <w:rPr>
                <w:color w:val="auto"/>
                <w:sz w:val="24"/>
                <w:highlight w:val="none"/>
              </w:rPr>
            </w:pPr>
          </w:p>
        </w:tc>
        <w:tc>
          <w:tcPr>
            <w:tcW w:w="992" w:type="dxa"/>
            <w:vAlign w:val="center"/>
          </w:tcPr>
          <w:p w14:paraId="53D4320D">
            <w:pPr>
              <w:rPr>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jc w:val="center"/>
              <w:rPr>
                <w:color w:val="auto"/>
                <w:sz w:val="24"/>
                <w:highlight w:val="none"/>
              </w:rPr>
            </w:pPr>
            <w:r>
              <w:rPr>
                <w:rFonts w:hint="eastAsia"/>
                <w:color w:val="auto"/>
                <w:sz w:val="24"/>
                <w:highlight w:val="none"/>
              </w:rPr>
              <w:t>5</w:t>
            </w:r>
          </w:p>
        </w:tc>
        <w:tc>
          <w:tcPr>
            <w:tcW w:w="7117" w:type="dxa"/>
            <w:vAlign w:val="center"/>
          </w:tcPr>
          <w:p w14:paraId="4FC3D2E4">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rPr>
                <w:color w:val="auto"/>
                <w:sz w:val="24"/>
                <w:highlight w:val="none"/>
              </w:rPr>
            </w:pPr>
          </w:p>
        </w:tc>
        <w:tc>
          <w:tcPr>
            <w:tcW w:w="992" w:type="dxa"/>
            <w:vAlign w:val="center"/>
          </w:tcPr>
          <w:p w14:paraId="453F8230">
            <w:pPr>
              <w:rPr>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jc w:val="center"/>
              <w:rPr>
                <w:color w:val="auto"/>
                <w:sz w:val="24"/>
                <w:highlight w:val="none"/>
              </w:rPr>
            </w:pPr>
            <w:r>
              <w:rPr>
                <w:rFonts w:hint="eastAsia"/>
                <w:color w:val="auto"/>
                <w:sz w:val="24"/>
                <w:highlight w:val="none"/>
              </w:rPr>
              <w:t>6</w:t>
            </w:r>
          </w:p>
        </w:tc>
        <w:tc>
          <w:tcPr>
            <w:tcW w:w="7117" w:type="dxa"/>
            <w:vAlign w:val="center"/>
          </w:tcPr>
          <w:p w14:paraId="327C7809">
            <w:pPr>
              <w:rPr>
                <w:color w:val="auto"/>
                <w:sz w:val="24"/>
                <w:highlight w:val="none"/>
              </w:rPr>
            </w:pPr>
            <w:r>
              <w:rPr>
                <w:rFonts w:hint="eastAsia"/>
                <w:color w:val="auto"/>
                <w:sz w:val="24"/>
                <w:highlight w:val="none"/>
              </w:rPr>
              <w:t>采购文件规定的其它无效情形</w:t>
            </w:r>
          </w:p>
        </w:tc>
        <w:tc>
          <w:tcPr>
            <w:tcW w:w="850" w:type="dxa"/>
            <w:vAlign w:val="center"/>
          </w:tcPr>
          <w:p w14:paraId="03D24ED7">
            <w:pPr>
              <w:rPr>
                <w:color w:val="auto"/>
                <w:sz w:val="24"/>
                <w:highlight w:val="none"/>
              </w:rPr>
            </w:pPr>
          </w:p>
        </w:tc>
        <w:tc>
          <w:tcPr>
            <w:tcW w:w="992" w:type="dxa"/>
            <w:vAlign w:val="center"/>
          </w:tcPr>
          <w:p w14:paraId="307C7CE8">
            <w:pPr>
              <w:rPr>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7" w:name="_Toc183682422"/>
      <w:bookmarkEnd w:id="47"/>
      <w:bookmarkStart w:id="48" w:name="_Toc217446104"/>
      <w:bookmarkEnd w:id="48"/>
      <w:bookmarkStart w:id="49" w:name="_Toc183582287"/>
      <w:bookmarkEnd w:id="49"/>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50" w:name="_Toc217446103"/>
      <w:r>
        <w:rPr>
          <w:rFonts w:hint="eastAsia" w:ascii="黑体" w:hAnsi="黑体" w:eastAsia="黑体"/>
          <w:b/>
          <w:color w:val="auto"/>
          <w:highlight w:val="none"/>
        </w:rPr>
        <w:t>（四）评审细则及标准</w:t>
      </w:r>
      <w:bookmarkEnd w:id="50"/>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1" w:name="_Toc217446060"/>
    </w:p>
    <w:p w14:paraId="3E946644">
      <w:pPr>
        <w:pStyle w:val="2"/>
        <w:rPr>
          <w:color w:val="auto"/>
          <w:highlight w:val="none"/>
        </w:rPr>
      </w:pPr>
    </w:p>
    <w:p w14:paraId="77D8CE42">
      <w:pPr>
        <w:pStyle w:val="3"/>
        <w:rPr>
          <w:color w:val="auto"/>
        </w:rPr>
      </w:pPr>
    </w:p>
    <w:tbl>
      <w:tblPr>
        <w:tblStyle w:val="4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18"/>
        <w:gridCol w:w="765"/>
        <w:gridCol w:w="4374"/>
        <w:gridCol w:w="2715"/>
      </w:tblGrid>
      <w:tr w14:paraId="368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jc w:val="center"/>
        </w:trPr>
        <w:tc>
          <w:tcPr>
            <w:tcW w:w="610" w:type="dxa"/>
            <w:noWrap/>
            <w:vAlign w:val="center"/>
          </w:tcPr>
          <w:p w14:paraId="69B07154">
            <w:pPr>
              <w:pStyle w:val="2"/>
              <w:jc w:val="center"/>
              <w:rPr>
                <w:b/>
                <w:bCs/>
                <w:color w:val="auto"/>
                <w:highlight w:val="none"/>
              </w:rPr>
            </w:pPr>
            <w:r>
              <w:rPr>
                <w:b/>
                <w:bCs/>
                <w:color w:val="auto"/>
                <w:highlight w:val="none"/>
              </w:rPr>
              <w:t>序号</w:t>
            </w:r>
          </w:p>
        </w:tc>
        <w:tc>
          <w:tcPr>
            <w:tcW w:w="1318" w:type="dxa"/>
            <w:noWrap/>
            <w:vAlign w:val="center"/>
          </w:tcPr>
          <w:p w14:paraId="4EC44682">
            <w:pPr>
              <w:pStyle w:val="2"/>
              <w:jc w:val="center"/>
              <w:rPr>
                <w:b/>
                <w:bCs/>
                <w:color w:val="auto"/>
                <w:highlight w:val="none"/>
              </w:rPr>
            </w:pPr>
            <w:r>
              <w:rPr>
                <w:b/>
                <w:bCs/>
                <w:color w:val="auto"/>
                <w:highlight w:val="none"/>
              </w:rPr>
              <w:t>评分因素及权重</w:t>
            </w:r>
          </w:p>
        </w:tc>
        <w:tc>
          <w:tcPr>
            <w:tcW w:w="765" w:type="dxa"/>
            <w:noWrap/>
            <w:vAlign w:val="center"/>
          </w:tcPr>
          <w:p w14:paraId="61A97401">
            <w:pPr>
              <w:pStyle w:val="2"/>
              <w:jc w:val="center"/>
              <w:rPr>
                <w:b/>
                <w:bCs/>
                <w:color w:val="auto"/>
                <w:highlight w:val="none"/>
              </w:rPr>
            </w:pPr>
            <w:r>
              <w:rPr>
                <w:b/>
                <w:bCs/>
                <w:color w:val="auto"/>
                <w:highlight w:val="none"/>
              </w:rPr>
              <w:t>分值</w:t>
            </w:r>
          </w:p>
        </w:tc>
        <w:tc>
          <w:tcPr>
            <w:tcW w:w="4374" w:type="dxa"/>
            <w:noWrap/>
            <w:vAlign w:val="center"/>
          </w:tcPr>
          <w:p w14:paraId="254941AD">
            <w:pPr>
              <w:pStyle w:val="2"/>
              <w:jc w:val="center"/>
              <w:rPr>
                <w:b/>
                <w:bCs/>
                <w:color w:val="auto"/>
                <w:highlight w:val="none"/>
              </w:rPr>
            </w:pPr>
            <w:r>
              <w:rPr>
                <w:b/>
                <w:bCs/>
                <w:color w:val="auto"/>
                <w:highlight w:val="none"/>
              </w:rPr>
              <w:t>评分标准</w:t>
            </w:r>
          </w:p>
        </w:tc>
        <w:tc>
          <w:tcPr>
            <w:tcW w:w="2715" w:type="dxa"/>
            <w:noWrap/>
            <w:vAlign w:val="center"/>
          </w:tcPr>
          <w:p w14:paraId="5888D59C">
            <w:pPr>
              <w:pStyle w:val="2"/>
              <w:jc w:val="center"/>
              <w:rPr>
                <w:b/>
                <w:bCs/>
                <w:color w:val="auto"/>
                <w:highlight w:val="none"/>
              </w:rPr>
            </w:pPr>
            <w:r>
              <w:rPr>
                <w:b/>
                <w:bCs/>
                <w:color w:val="auto"/>
                <w:highlight w:val="none"/>
              </w:rPr>
              <w:t>说    明</w:t>
            </w:r>
          </w:p>
        </w:tc>
      </w:tr>
      <w:tr w14:paraId="6D7B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610" w:type="dxa"/>
            <w:noWrap/>
            <w:vAlign w:val="center"/>
          </w:tcPr>
          <w:p w14:paraId="33450028">
            <w:pPr>
              <w:pStyle w:val="2"/>
              <w:rPr>
                <w:color w:val="auto"/>
                <w:highlight w:val="none"/>
              </w:rPr>
            </w:pPr>
            <w:r>
              <w:rPr>
                <w:color w:val="auto"/>
                <w:highlight w:val="none"/>
              </w:rPr>
              <w:t>1</w:t>
            </w:r>
          </w:p>
        </w:tc>
        <w:tc>
          <w:tcPr>
            <w:tcW w:w="1318" w:type="dxa"/>
            <w:noWrap/>
            <w:vAlign w:val="center"/>
          </w:tcPr>
          <w:p w14:paraId="06223DCD">
            <w:pPr>
              <w:pStyle w:val="2"/>
              <w:rPr>
                <w:color w:val="auto"/>
                <w:highlight w:val="none"/>
              </w:rPr>
            </w:pPr>
            <w:r>
              <w:rPr>
                <w:color w:val="auto"/>
                <w:highlight w:val="none"/>
              </w:rPr>
              <w:t>报价</w:t>
            </w:r>
            <w:r>
              <w:rPr>
                <w:rFonts w:hint="eastAsia"/>
                <w:color w:val="auto"/>
                <w:highlight w:val="none"/>
              </w:rPr>
              <w:t>1</w:t>
            </w:r>
            <w:r>
              <w:rPr>
                <w:rFonts w:hint="eastAsia"/>
                <w:color w:val="auto"/>
                <w:highlight w:val="none"/>
                <w:lang w:val="en-US" w:eastAsia="zh-CN"/>
              </w:rPr>
              <w:t>5</w:t>
            </w:r>
            <w:r>
              <w:rPr>
                <w:color w:val="auto"/>
                <w:highlight w:val="none"/>
              </w:rPr>
              <w:t>%</w:t>
            </w:r>
          </w:p>
        </w:tc>
        <w:tc>
          <w:tcPr>
            <w:tcW w:w="765" w:type="dxa"/>
            <w:noWrap/>
            <w:vAlign w:val="center"/>
          </w:tcPr>
          <w:p w14:paraId="1D5C6874">
            <w:pPr>
              <w:pStyle w:val="2"/>
              <w:rPr>
                <w:color w:val="auto"/>
                <w:highlight w:val="none"/>
              </w:rPr>
            </w:pPr>
            <w:r>
              <w:rPr>
                <w:rFonts w:hint="eastAsia"/>
                <w:color w:val="auto"/>
                <w:highlight w:val="none"/>
              </w:rPr>
              <w:t>1</w:t>
            </w:r>
            <w:r>
              <w:rPr>
                <w:rFonts w:hint="eastAsia"/>
                <w:color w:val="auto"/>
                <w:highlight w:val="none"/>
                <w:lang w:val="en-US" w:eastAsia="zh-CN"/>
              </w:rPr>
              <w:t>5</w:t>
            </w:r>
            <w:r>
              <w:rPr>
                <w:color w:val="auto"/>
                <w:highlight w:val="none"/>
              </w:rPr>
              <w:t>分</w:t>
            </w:r>
          </w:p>
        </w:tc>
        <w:tc>
          <w:tcPr>
            <w:tcW w:w="4374" w:type="dxa"/>
            <w:noWrap/>
            <w:vAlign w:val="center"/>
          </w:tcPr>
          <w:p w14:paraId="16C40C21">
            <w:pPr>
              <w:pStyle w:val="2"/>
              <w:rPr>
                <w:color w:val="auto"/>
                <w:highlight w:val="none"/>
              </w:rPr>
            </w:pPr>
            <w:r>
              <w:rPr>
                <w:color w:val="auto"/>
                <w:highlight w:val="none"/>
              </w:rPr>
              <w:t>投标报价满足</w:t>
            </w:r>
            <w:r>
              <w:rPr>
                <w:rFonts w:hint="eastAsia"/>
                <w:color w:val="auto"/>
                <w:highlight w:val="none"/>
              </w:rPr>
              <w:t>采购</w:t>
            </w:r>
            <w:r>
              <w:rPr>
                <w:color w:val="auto"/>
                <w:highlight w:val="none"/>
              </w:rPr>
              <w:t>文件要求且投标价格最低的有效报价为评审基准价,其报价分为满分。投标报价得分=(评审基准价／投标报价)</w:t>
            </w:r>
            <w:r>
              <w:rPr>
                <w:rFonts w:hint="eastAsia"/>
                <w:color w:val="auto"/>
                <w:highlight w:val="none"/>
              </w:rPr>
              <w:t>×1</w:t>
            </w:r>
            <w:r>
              <w:rPr>
                <w:rFonts w:hint="eastAsia"/>
                <w:color w:val="auto"/>
                <w:highlight w:val="none"/>
                <w:lang w:val="en-US" w:eastAsia="zh-CN"/>
              </w:rPr>
              <w:t>5</w:t>
            </w:r>
            <w:r>
              <w:rPr>
                <w:rFonts w:hint="eastAsia"/>
                <w:color w:val="auto"/>
                <w:highlight w:val="none"/>
              </w:rPr>
              <w:t>×100%</w:t>
            </w:r>
            <w:r>
              <w:rPr>
                <w:color w:val="auto"/>
                <w:highlight w:val="none"/>
              </w:rPr>
              <w:t>。</w:t>
            </w:r>
          </w:p>
        </w:tc>
        <w:tc>
          <w:tcPr>
            <w:tcW w:w="2715" w:type="dxa"/>
            <w:noWrap/>
            <w:vAlign w:val="center"/>
          </w:tcPr>
          <w:p w14:paraId="050E7727">
            <w:pPr>
              <w:pStyle w:val="2"/>
              <w:rPr>
                <w:color w:val="auto"/>
                <w:highlight w:val="none"/>
              </w:rPr>
            </w:pPr>
            <w:r>
              <w:rPr>
                <w:rFonts w:hint="eastAsia"/>
                <w:color w:val="auto"/>
                <w:highlight w:val="none"/>
              </w:rPr>
              <w:t>在评审过程中，供应商报价低于最高限价的</w:t>
            </w:r>
            <w:r>
              <w:rPr>
                <w:color w:val="auto"/>
                <w:highlight w:val="none"/>
              </w:rPr>
              <w:t>50</w:t>
            </w:r>
            <w:r>
              <w:rPr>
                <w:rFonts w:hint="eastAsia"/>
                <w:color w:val="auto"/>
                <w:highlight w:val="none"/>
              </w:rPr>
              <w:t>%或者低于其他有效供应商报价平均价的</w:t>
            </w:r>
            <w:r>
              <w:rPr>
                <w:color w:val="auto"/>
                <w:highlight w:val="none"/>
              </w:rPr>
              <w:t>40</w:t>
            </w:r>
            <w:r>
              <w:rPr>
                <w:rFonts w:hint="eastAsia"/>
                <w:color w:val="auto"/>
                <w:highlight w:val="none"/>
              </w:rPr>
              <w:t>%，有可能影响产品质量或者不能诚信履约的，应当将其作为无效处理。</w:t>
            </w:r>
          </w:p>
        </w:tc>
      </w:tr>
      <w:tr w14:paraId="2C8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610" w:type="dxa"/>
            <w:noWrap/>
            <w:vAlign w:val="center"/>
          </w:tcPr>
          <w:p w14:paraId="78ECDBCC">
            <w:pPr>
              <w:pStyle w:val="2"/>
              <w:rPr>
                <w:rFonts w:hint="eastAsia" w:eastAsia="宋体"/>
                <w:color w:val="auto"/>
                <w:highlight w:val="none"/>
                <w:lang w:eastAsia="zh-CN"/>
              </w:rPr>
            </w:pPr>
            <w:r>
              <w:rPr>
                <w:rFonts w:hint="eastAsia"/>
                <w:color w:val="auto"/>
                <w:highlight w:val="none"/>
                <w:lang w:val="en-US" w:eastAsia="zh-CN"/>
              </w:rPr>
              <w:t>2</w:t>
            </w:r>
          </w:p>
        </w:tc>
        <w:tc>
          <w:tcPr>
            <w:tcW w:w="1318" w:type="dxa"/>
            <w:noWrap/>
            <w:vAlign w:val="center"/>
          </w:tcPr>
          <w:p w14:paraId="1A1A9C44">
            <w:pPr>
              <w:pStyle w:val="2"/>
              <w:rPr>
                <w:color w:val="auto"/>
                <w:highlight w:val="none"/>
              </w:rPr>
            </w:pPr>
            <w:r>
              <w:rPr>
                <w:rFonts w:hint="eastAsia"/>
                <w:color w:val="auto"/>
                <w:highlight w:val="none"/>
              </w:rPr>
              <w:t>综合实力</w:t>
            </w:r>
          </w:p>
          <w:p w14:paraId="12361BA6">
            <w:pPr>
              <w:pStyle w:val="2"/>
              <w:rPr>
                <w:color w:val="auto"/>
                <w:highlight w:val="none"/>
              </w:rPr>
            </w:pPr>
            <w:r>
              <w:rPr>
                <w:rFonts w:hint="eastAsia"/>
                <w:color w:val="auto"/>
                <w:highlight w:val="none"/>
              </w:rPr>
              <w:t>2</w:t>
            </w:r>
            <w:r>
              <w:rPr>
                <w:rFonts w:hint="eastAsia"/>
                <w:color w:val="auto"/>
                <w:highlight w:val="none"/>
                <w:lang w:val="en-US" w:eastAsia="zh-CN"/>
              </w:rPr>
              <w:t>4</w:t>
            </w:r>
            <w:r>
              <w:rPr>
                <w:color w:val="auto"/>
                <w:highlight w:val="none"/>
              </w:rPr>
              <w:t>%</w:t>
            </w:r>
          </w:p>
        </w:tc>
        <w:tc>
          <w:tcPr>
            <w:tcW w:w="765" w:type="dxa"/>
            <w:noWrap/>
            <w:vAlign w:val="center"/>
          </w:tcPr>
          <w:p w14:paraId="08523AFE">
            <w:pPr>
              <w:pStyle w:val="2"/>
              <w:rPr>
                <w:color w:val="auto"/>
                <w:highlight w:val="none"/>
              </w:rPr>
            </w:pPr>
            <w:r>
              <w:rPr>
                <w:rFonts w:hint="eastAsia"/>
                <w:color w:val="auto"/>
                <w:highlight w:val="none"/>
              </w:rPr>
              <w:t>2</w:t>
            </w:r>
            <w:r>
              <w:rPr>
                <w:rFonts w:hint="eastAsia"/>
                <w:color w:val="auto"/>
                <w:highlight w:val="none"/>
                <w:lang w:val="en-US" w:eastAsia="zh-CN"/>
              </w:rPr>
              <w:t>4</w:t>
            </w:r>
            <w:r>
              <w:rPr>
                <w:rFonts w:hint="eastAsia"/>
                <w:color w:val="auto"/>
                <w:highlight w:val="none"/>
              </w:rPr>
              <w:t>分</w:t>
            </w:r>
          </w:p>
        </w:tc>
        <w:tc>
          <w:tcPr>
            <w:tcW w:w="4374" w:type="dxa"/>
            <w:noWrap/>
            <w:vAlign w:val="center"/>
          </w:tcPr>
          <w:p w14:paraId="3775E2D1">
            <w:pPr>
              <w:pStyle w:val="2"/>
              <w:rPr>
                <w:color w:val="auto"/>
                <w:highlight w:val="none"/>
              </w:rPr>
            </w:pPr>
            <w:r>
              <w:rPr>
                <w:rFonts w:hint="eastAsia"/>
                <w:color w:val="auto"/>
                <w:highlight w:val="none"/>
              </w:rPr>
              <w:t>1.投标</w:t>
            </w:r>
            <w:r>
              <w:rPr>
                <w:rFonts w:hint="eastAsia"/>
                <w:color w:val="auto"/>
                <w:highlight w:val="none"/>
                <w:lang w:eastAsia="zh-CN"/>
              </w:rPr>
              <w:t>人</w:t>
            </w:r>
            <w:r>
              <w:rPr>
                <w:rFonts w:hint="eastAsia"/>
                <w:color w:val="auto"/>
                <w:highlight w:val="none"/>
              </w:rPr>
              <w:t>参与标准制定情况（10分）</w:t>
            </w:r>
          </w:p>
          <w:p w14:paraId="7B73AB5C">
            <w:pPr>
              <w:pStyle w:val="2"/>
              <w:rPr>
                <w:color w:val="auto"/>
                <w:highlight w:val="none"/>
              </w:rPr>
            </w:pPr>
            <w:r>
              <w:rPr>
                <w:rFonts w:hint="eastAsia"/>
                <w:color w:val="auto"/>
                <w:highlight w:val="none"/>
              </w:rPr>
              <w:t>1.1.</w:t>
            </w:r>
            <w:r>
              <w:rPr>
                <w:color w:val="auto"/>
                <w:highlight w:val="none"/>
              </w:rPr>
              <w:t>投标</w:t>
            </w:r>
            <w:r>
              <w:rPr>
                <w:rFonts w:hint="eastAsia"/>
                <w:color w:val="auto"/>
                <w:highlight w:val="none"/>
                <w:lang w:eastAsia="zh-CN"/>
              </w:rPr>
              <w:t>人</w:t>
            </w:r>
            <w:r>
              <w:rPr>
                <w:rFonts w:hint="eastAsia"/>
                <w:color w:val="auto"/>
                <w:highlight w:val="none"/>
              </w:rPr>
              <w:t>参与安全管理评价等标准制定的</w:t>
            </w:r>
            <w:r>
              <w:rPr>
                <w:color w:val="auto"/>
                <w:highlight w:val="none"/>
              </w:rPr>
              <w:t>，得</w:t>
            </w:r>
            <w:r>
              <w:rPr>
                <w:rFonts w:hint="eastAsia"/>
                <w:color w:val="auto"/>
                <w:highlight w:val="none"/>
              </w:rPr>
              <w:t>5</w:t>
            </w:r>
            <w:r>
              <w:rPr>
                <w:color w:val="auto"/>
                <w:highlight w:val="none"/>
              </w:rPr>
              <w:t>分。</w:t>
            </w:r>
          </w:p>
          <w:p w14:paraId="6E803311">
            <w:pPr>
              <w:pStyle w:val="2"/>
              <w:rPr>
                <w:color w:val="auto"/>
                <w:highlight w:val="none"/>
              </w:rPr>
            </w:pPr>
            <w:r>
              <w:rPr>
                <w:rFonts w:hint="eastAsia"/>
                <w:color w:val="auto"/>
                <w:highlight w:val="none"/>
              </w:rPr>
              <w:t>1.2.</w:t>
            </w:r>
            <w:r>
              <w:rPr>
                <w:color w:val="auto"/>
                <w:highlight w:val="none"/>
              </w:rPr>
              <w:t>投标</w:t>
            </w:r>
            <w:r>
              <w:rPr>
                <w:rFonts w:hint="eastAsia"/>
                <w:color w:val="auto"/>
                <w:highlight w:val="none"/>
                <w:lang w:eastAsia="zh-CN"/>
              </w:rPr>
              <w:t>人</w:t>
            </w:r>
            <w:r>
              <w:rPr>
                <w:rFonts w:hint="eastAsia"/>
                <w:color w:val="auto"/>
                <w:highlight w:val="none"/>
              </w:rPr>
              <w:t>参与电梯维保质量等相关标准制定的</w:t>
            </w:r>
            <w:r>
              <w:rPr>
                <w:color w:val="auto"/>
                <w:highlight w:val="none"/>
              </w:rPr>
              <w:t>，得</w:t>
            </w:r>
            <w:r>
              <w:rPr>
                <w:rFonts w:hint="eastAsia"/>
                <w:color w:val="auto"/>
                <w:highlight w:val="none"/>
              </w:rPr>
              <w:t>5</w:t>
            </w:r>
            <w:r>
              <w:rPr>
                <w:color w:val="auto"/>
                <w:highlight w:val="none"/>
              </w:rPr>
              <w:t>分。</w:t>
            </w:r>
          </w:p>
          <w:p w14:paraId="427A4EEE">
            <w:pPr>
              <w:pStyle w:val="2"/>
              <w:rPr>
                <w:color w:val="auto"/>
                <w:highlight w:val="none"/>
              </w:rPr>
            </w:pPr>
            <w:r>
              <w:rPr>
                <w:rFonts w:hint="eastAsia"/>
                <w:color w:val="auto"/>
                <w:highlight w:val="none"/>
              </w:rPr>
              <w:t>2.</w:t>
            </w:r>
            <w:r>
              <w:rPr>
                <w:rFonts w:hint="eastAsia"/>
                <w:color w:val="auto"/>
                <w:highlight w:val="none"/>
                <w:lang w:eastAsia="zh-CN"/>
              </w:rPr>
              <w:t>投标人</w:t>
            </w:r>
            <w:r>
              <w:rPr>
                <w:rFonts w:hint="eastAsia"/>
                <w:color w:val="auto"/>
                <w:highlight w:val="none"/>
              </w:rPr>
              <w:t>具备特种设备安全监察培训工作得</w:t>
            </w:r>
            <w:r>
              <w:rPr>
                <w:rFonts w:hint="eastAsia"/>
                <w:color w:val="auto"/>
                <w:highlight w:val="none"/>
                <w:lang w:val="en-US" w:eastAsia="zh-CN"/>
              </w:rPr>
              <w:t>3</w:t>
            </w:r>
            <w:r>
              <w:rPr>
                <w:rFonts w:hint="eastAsia"/>
                <w:color w:val="auto"/>
                <w:highlight w:val="none"/>
              </w:rPr>
              <w:t>分</w:t>
            </w:r>
          </w:p>
          <w:p w14:paraId="4DFF3C3B">
            <w:pPr>
              <w:pStyle w:val="2"/>
              <w:rPr>
                <w:color w:val="auto"/>
                <w:highlight w:val="none"/>
              </w:rPr>
            </w:pPr>
            <w:r>
              <w:rPr>
                <w:rFonts w:hint="eastAsia"/>
                <w:color w:val="auto"/>
                <w:highlight w:val="none"/>
              </w:rPr>
              <w:t>3.</w:t>
            </w:r>
            <w:r>
              <w:rPr>
                <w:rFonts w:hint="eastAsia"/>
                <w:color w:val="auto"/>
                <w:highlight w:val="none"/>
                <w:lang w:eastAsia="zh-CN"/>
              </w:rPr>
              <w:t>投标人</w:t>
            </w:r>
            <w:r>
              <w:rPr>
                <w:rFonts w:hint="eastAsia"/>
                <w:color w:val="auto"/>
                <w:highlight w:val="none"/>
              </w:rPr>
              <w:t>具备特种设备安全教育警示</w:t>
            </w:r>
            <w:r>
              <w:rPr>
                <w:rFonts w:hint="eastAsia"/>
                <w:color w:val="auto"/>
                <w:highlight w:val="none"/>
                <w:lang w:eastAsia="zh-CN"/>
              </w:rPr>
              <w:t>培训</w:t>
            </w:r>
            <w:r>
              <w:rPr>
                <w:rFonts w:hint="eastAsia"/>
                <w:color w:val="auto"/>
                <w:highlight w:val="none"/>
              </w:rPr>
              <w:t>工作得</w:t>
            </w:r>
            <w:r>
              <w:rPr>
                <w:rFonts w:hint="eastAsia"/>
                <w:color w:val="auto"/>
                <w:highlight w:val="none"/>
                <w:lang w:val="en-US" w:eastAsia="zh-CN"/>
              </w:rPr>
              <w:t>3</w:t>
            </w:r>
            <w:r>
              <w:rPr>
                <w:rFonts w:hint="eastAsia"/>
                <w:color w:val="auto"/>
                <w:highlight w:val="none"/>
              </w:rPr>
              <w:t>分</w:t>
            </w:r>
          </w:p>
          <w:p w14:paraId="3879EF9C">
            <w:pPr>
              <w:pStyle w:val="2"/>
              <w:rPr>
                <w:color w:val="auto"/>
                <w:highlight w:val="none"/>
              </w:rPr>
            </w:pPr>
            <w:r>
              <w:rPr>
                <w:rFonts w:hint="eastAsia"/>
                <w:color w:val="auto"/>
                <w:highlight w:val="none"/>
              </w:rPr>
              <w:t>4.</w:t>
            </w:r>
            <w:r>
              <w:rPr>
                <w:rFonts w:hint="eastAsia"/>
                <w:color w:val="auto"/>
                <w:highlight w:val="none"/>
                <w:lang w:eastAsia="zh-CN"/>
              </w:rPr>
              <w:t>认定证书</w:t>
            </w:r>
            <w:r>
              <w:rPr>
                <w:rFonts w:hint="eastAsia"/>
                <w:color w:val="auto"/>
                <w:highlight w:val="none"/>
              </w:rPr>
              <w:t>（若全资子公司名义投标，该证书可以是其母公司取得）</w:t>
            </w:r>
            <w:r>
              <w:rPr>
                <w:rFonts w:hint="eastAsia"/>
                <w:color w:val="auto"/>
                <w:highlight w:val="none"/>
                <w:lang w:val="en-US" w:eastAsia="zh-CN"/>
              </w:rPr>
              <w:t>8</w:t>
            </w:r>
            <w:r>
              <w:rPr>
                <w:rFonts w:hint="eastAsia"/>
                <w:color w:val="auto"/>
                <w:highlight w:val="none"/>
              </w:rPr>
              <w:t>分）</w:t>
            </w:r>
          </w:p>
          <w:p w14:paraId="401C921F">
            <w:pPr>
              <w:pStyle w:val="2"/>
              <w:rPr>
                <w:color w:val="auto"/>
                <w:highlight w:val="none"/>
              </w:rPr>
            </w:pPr>
            <w:r>
              <w:rPr>
                <w:rFonts w:hint="eastAsia"/>
                <w:color w:val="auto"/>
                <w:highlight w:val="none"/>
              </w:rPr>
              <w:t>4.1通过省部级CMA认证证书</w:t>
            </w:r>
            <w:r>
              <w:rPr>
                <w:rFonts w:hint="eastAsia"/>
                <w:color w:val="auto"/>
                <w:highlight w:val="none"/>
                <w:lang w:eastAsia="zh-CN"/>
              </w:rPr>
              <w:t>（检验检测机构资质认定证书）</w:t>
            </w:r>
            <w:r>
              <w:rPr>
                <w:rFonts w:hint="eastAsia"/>
                <w:color w:val="auto"/>
                <w:highlight w:val="none"/>
              </w:rPr>
              <w:t>的得</w:t>
            </w:r>
            <w:r>
              <w:rPr>
                <w:rFonts w:hint="eastAsia"/>
                <w:color w:val="auto"/>
                <w:highlight w:val="none"/>
                <w:lang w:val="en-US" w:eastAsia="zh-CN"/>
              </w:rPr>
              <w:t>4</w:t>
            </w:r>
            <w:r>
              <w:rPr>
                <w:rFonts w:hint="eastAsia"/>
                <w:color w:val="auto"/>
                <w:highlight w:val="none"/>
              </w:rPr>
              <w:t>分；</w:t>
            </w:r>
          </w:p>
          <w:p w14:paraId="716CD464">
            <w:pPr>
              <w:pStyle w:val="2"/>
              <w:rPr>
                <w:color w:val="auto"/>
                <w:highlight w:val="none"/>
              </w:rPr>
            </w:pPr>
            <w:r>
              <w:rPr>
                <w:rFonts w:hint="eastAsia"/>
                <w:color w:val="auto"/>
                <w:highlight w:val="none"/>
              </w:rPr>
              <w:t>4.2通过国家级CNAS认证证书</w:t>
            </w:r>
            <w:r>
              <w:rPr>
                <w:rFonts w:hint="eastAsia"/>
                <w:color w:val="auto"/>
                <w:highlight w:val="none"/>
                <w:lang w:eastAsia="zh-CN"/>
              </w:rPr>
              <w:t>（实验室认可证书）</w:t>
            </w:r>
            <w:r>
              <w:rPr>
                <w:rFonts w:hint="eastAsia"/>
                <w:color w:val="auto"/>
                <w:highlight w:val="none"/>
              </w:rPr>
              <w:t>的得</w:t>
            </w:r>
            <w:r>
              <w:rPr>
                <w:rFonts w:hint="eastAsia"/>
                <w:color w:val="auto"/>
                <w:highlight w:val="none"/>
                <w:lang w:val="en-US" w:eastAsia="zh-CN"/>
              </w:rPr>
              <w:t>4</w:t>
            </w:r>
            <w:r>
              <w:rPr>
                <w:rFonts w:hint="eastAsia"/>
                <w:color w:val="auto"/>
                <w:highlight w:val="none"/>
              </w:rPr>
              <w:t>分。</w:t>
            </w:r>
          </w:p>
        </w:tc>
        <w:tc>
          <w:tcPr>
            <w:tcW w:w="2715" w:type="dxa"/>
            <w:noWrap/>
            <w:vAlign w:val="center"/>
          </w:tcPr>
          <w:p w14:paraId="0F12ED4B">
            <w:pPr>
              <w:pStyle w:val="2"/>
              <w:rPr>
                <w:color w:val="auto"/>
                <w:highlight w:val="none"/>
              </w:rPr>
            </w:pPr>
            <w:r>
              <w:rPr>
                <w:rFonts w:hint="eastAsia"/>
                <w:color w:val="auto"/>
                <w:highlight w:val="none"/>
              </w:rPr>
              <w:t>第1条提供对应网站的查询截图以及标准中</w:t>
            </w:r>
            <w:r>
              <w:rPr>
                <w:rFonts w:hint="eastAsia"/>
                <w:color w:val="auto"/>
                <w:highlight w:val="none"/>
                <w:lang w:eastAsia="zh-CN"/>
              </w:rPr>
              <w:t>投标人</w:t>
            </w:r>
            <w:r>
              <w:rPr>
                <w:rFonts w:hint="eastAsia"/>
                <w:color w:val="auto"/>
                <w:highlight w:val="none"/>
              </w:rPr>
              <w:t>对应起草页，并提供网址备查（如地方标准信息服务平台或全国标准信息公共服务平台</w:t>
            </w:r>
            <w:r>
              <w:rPr>
                <w:rFonts w:hint="eastAsia"/>
                <w:color w:val="auto"/>
                <w:highlight w:val="none"/>
                <w:lang w:eastAsia="zh-CN"/>
              </w:rPr>
              <w:t>等</w:t>
            </w:r>
            <w:r>
              <w:rPr>
                <w:rFonts w:hint="eastAsia"/>
                <w:color w:val="auto"/>
                <w:highlight w:val="none"/>
              </w:rPr>
              <w:t>）；第2、3条提供响应的相关</w:t>
            </w:r>
            <w:r>
              <w:rPr>
                <w:rFonts w:hint="eastAsia"/>
                <w:color w:val="auto"/>
                <w:highlight w:val="none"/>
                <w:lang w:eastAsia="zh-CN"/>
              </w:rPr>
              <w:t>行政</w:t>
            </w:r>
            <w:r>
              <w:rPr>
                <w:rFonts w:hint="eastAsia"/>
                <w:color w:val="auto"/>
                <w:highlight w:val="none"/>
              </w:rPr>
              <w:t>部门</w:t>
            </w:r>
            <w:r>
              <w:rPr>
                <w:rFonts w:hint="eastAsia"/>
                <w:color w:val="auto"/>
                <w:highlight w:val="none"/>
                <w:lang w:eastAsia="zh-CN"/>
              </w:rPr>
              <w:t>或国家主管部门授权机构佐证材料</w:t>
            </w:r>
            <w:r>
              <w:rPr>
                <w:rFonts w:hint="eastAsia"/>
                <w:color w:val="auto"/>
                <w:highlight w:val="none"/>
              </w:rPr>
              <w:t>。未提供</w:t>
            </w:r>
            <w:r>
              <w:rPr>
                <w:color w:val="auto"/>
                <w:highlight w:val="none"/>
              </w:rPr>
              <w:t>一律作不得分处理。</w:t>
            </w:r>
          </w:p>
          <w:p w14:paraId="6F03B593">
            <w:pPr>
              <w:pStyle w:val="2"/>
              <w:rPr>
                <w:color w:val="auto"/>
                <w:highlight w:val="none"/>
              </w:rPr>
            </w:pPr>
            <w:r>
              <w:rPr>
                <w:color w:val="auto"/>
                <w:highlight w:val="none"/>
              </w:rPr>
              <w:t>均</w:t>
            </w:r>
            <w:r>
              <w:rPr>
                <w:rFonts w:hint="eastAsia"/>
                <w:color w:val="auto"/>
                <w:highlight w:val="none"/>
              </w:rPr>
              <w:t>需</w:t>
            </w:r>
            <w:r>
              <w:rPr>
                <w:color w:val="auto"/>
                <w:highlight w:val="none"/>
              </w:rPr>
              <w:t>提供</w:t>
            </w:r>
            <w:r>
              <w:rPr>
                <w:rFonts w:hint="eastAsia"/>
                <w:color w:val="auto"/>
                <w:highlight w:val="none"/>
              </w:rPr>
              <w:t>相应证明材料</w:t>
            </w:r>
            <w:r>
              <w:rPr>
                <w:color w:val="auto"/>
                <w:highlight w:val="none"/>
              </w:rPr>
              <w:t>，评分中出现无证明资料或专家无法凭所提供资料判断是否得分的情况，一律作不得分处理。</w:t>
            </w:r>
          </w:p>
        </w:tc>
      </w:tr>
      <w:tr w14:paraId="2731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0" w:type="dxa"/>
            <w:noWrap/>
            <w:vAlign w:val="center"/>
          </w:tcPr>
          <w:p w14:paraId="1070A463">
            <w:pPr>
              <w:pStyle w:val="2"/>
              <w:rPr>
                <w:rFonts w:hint="eastAsia" w:eastAsia="宋体"/>
                <w:color w:val="auto"/>
                <w:highlight w:val="none"/>
                <w:lang w:eastAsia="zh-CN"/>
              </w:rPr>
            </w:pPr>
            <w:r>
              <w:rPr>
                <w:rFonts w:hint="eastAsia"/>
                <w:color w:val="auto"/>
                <w:highlight w:val="none"/>
                <w:lang w:val="en-US" w:eastAsia="zh-CN"/>
              </w:rPr>
              <w:t>3</w:t>
            </w:r>
          </w:p>
        </w:tc>
        <w:tc>
          <w:tcPr>
            <w:tcW w:w="1318" w:type="dxa"/>
            <w:noWrap/>
            <w:vAlign w:val="center"/>
          </w:tcPr>
          <w:p w14:paraId="7C12193C">
            <w:pPr>
              <w:pStyle w:val="2"/>
              <w:rPr>
                <w:color w:val="auto"/>
                <w:highlight w:val="none"/>
              </w:rPr>
            </w:pPr>
            <w:r>
              <w:rPr>
                <w:color w:val="auto"/>
                <w:highlight w:val="none"/>
              </w:rPr>
              <w:t>人员配置</w:t>
            </w:r>
          </w:p>
          <w:p w14:paraId="0688C09D">
            <w:pPr>
              <w:pStyle w:val="2"/>
              <w:rPr>
                <w:color w:val="auto"/>
                <w:highlight w:val="none"/>
              </w:rPr>
            </w:pPr>
            <w:r>
              <w:rPr>
                <w:rFonts w:hint="eastAsia"/>
                <w:color w:val="auto"/>
                <w:highlight w:val="none"/>
              </w:rPr>
              <w:t>20</w:t>
            </w:r>
            <w:r>
              <w:rPr>
                <w:color w:val="auto"/>
                <w:highlight w:val="none"/>
              </w:rPr>
              <w:t>%</w:t>
            </w:r>
          </w:p>
        </w:tc>
        <w:tc>
          <w:tcPr>
            <w:tcW w:w="765" w:type="dxa"/>
            <w:noWrap/>
            <w:vAlign w:val="center"/>
          </w:tcPr>
          <w:p w14:paraId="0E955907">
            <w:pPr>
              <w:pStyle w:val="2"/>
              <w:rPr>
                <w:color w:val="auto"/>
                <w:highlight w:val="none"/>
              </w:rPr>
            </w:pPr>
            <w:r>
              <w:rPr>
                <w:rFonts w:hint="eastAsia"/>
                <w:color w:val="auto"/>
                <w:highlight w:val="none"/>
              </w:rPr>
              <w:t>20</w:t>
            </w:r>
            <w:r>
              <w:rPr>
                <w:color w:val="auto"/>
                <w:highlight w:val="none"/>
              </w:rPr>
              <w:t>分</w:t>
            </w:r>
          </w:p>
        </w:tc>
        <w:tc>
          <w:tcPr>
            <w:tcW w:w="4374" w:type="dxa"/>
            <w:noWrap/>
            <w:vAlign w:val="center"/>
          </w:tcPr>
          <w:p w14:paraId="286CC9C9">
            <w:pPr>
              <w:pStyle w:val="2"/>
              <w:rPr>
                <w:color w:val="auto"/>
                <w:highlight w:val="none"/>
              </w:rPr>
            </w:pPr>
            <w:r>
              <w:rPr>
                <w:color w:val="auto"/>
                <w:highlight w:val="none"/>
              </w:rPr>
              <w:t>1.投标人提供项目负责人需具有</w:t>
            </w:r>
            <w:r>
              <w:rPr>
                <w:rFonts w:hint="eastAsia"/>
                <w:color w:val="auto"/>
                <w:highlight w:val="none"/>
              </w:rPr>
              <w:t>电梯</w:t>
            </w:r>
            <w:r>
              <w:rPr>
                <w:color w:val="auto"/>
                <w:highlight w:val="none"/>
              </w:rPr>
              <w:t>检验师资格得2分</w:t>
            </w:r>
            <w:r>
              <w:rPr>
                <w:rFonts w:hint="eastAsia"/>
                <w:color w:val="auto"/>
                <w:highlight w:val="none"/>
              </w:rPr>
              <w:t>，</w:t>
            </w:r>
            <w:r>
              <w:rPr>
                <w:color w:val="auto"/>
                <w:highlight w:val="none"/>
              </w:rPr>
              <w:t>同时具有高级工程师资格加2分，同时具有注册安全工程师加2分，本项最高得6分。</w:t>
            </w:r>
          </w:p>
          <w:p w14:paraId="198FFB50">
            <w:pPr>
              <w:pStyle w:val="2"/>
              <w:rPr>
                <w:color w:val="auto"/>
                <w:highlight w:val="none"/>
              </w:rPr>
            </w:pPr>
            <w:r>
              <w:rPr>
                <w:color w:val="auto"/>
                <w:highlight w:val="none"/>
              </w:rPr>
              <w:t>2.</w:t>
            </w:r>
            <w:r>
              <w:rPr>
                <w:rFonts w:hint="eastAsia"/>
                <w:color w:val="auto"/>
                <w:highlight w:val="none"/>
              </w:rPr>
              <w:t>除项目负责人外</w:t>
            </w:r>
            <w:r>
              <w:rPr>
                <w:color w:val="auto"/>
                <w:highlight w:val="none"/>
              </w:rPr>
              <w:t>投标人提供为项目配备的检验技术人员</w:t>
            </w:r>
            <w:r>
              <w:rPr>
                <w:rFonts w:hint="eastAsia"/>
                <w:color w:val="auto"/>
                <w:highlight w:val="none"/>
              </w:rPr>
              <w:t>；（14分）</w:t>
            </w:r>
          </w:p>
          <w:p w14:paraId="4071080C">
            <w:pPr>
              <w:pStyle w:val="2"/>
              <w:rPr>
                <w:color w:val="auto"/>
                <w:highlight w:val="none"/>
              </w:rPr>
            </w:pPr>
            <w:r>
              <w:rPr>
                <w:rFonts w:hint="eastAsia"/>
                <w:color w:val="auto"/>
                <w:highlight w:val="none"/>
              </w:rPr>
              <w:t>2.1提供相关专业工程师，每人计0.5分；高级工程师，每人计1分；正高级工程师,每人计2分。本项最高得6分。</w:t>
            </w:r>
          </w:p>
          <w:p w14:paraId="702B4D48">
            <w:pPr>
              <w:pStyle w:val="2"/>
              <w:rPr>
                <w:color w:val="auto"/>
                <w:highlight w:val="none"/>
              </w:rPr>
            </w:pPr>
            <w:r>
              <w:rPr>
                <w:rFonts w:hint="eastAsia"/>
                <w:color w:val="auto"/>
                <w:highlight w:val="none"/>
              </w:rPr>
              <w:t>2.2供应商单位检验检测人员业务素质（8分）：根据供应商提供电梯检验资格计算，电梯检验员每人计0.5分，电梯检验师每人计1分。</w:t>
            </w:r>
            <w:r>
              <w:rPr>
                <w:color w:val="auto"/>
                <w:highlight w:val="none"/>
              </w:rPr>
              <w:t>本项最高得</w:t>
            </w:r>
            <w:r>
              <w:rPr>
                <w:rFonts w:hint="eastAsia"/>
                <w:color w:val="auto"/>
                <w:highlight w:val="none"/>
              </w:rPr>
              <w:t>8</w:t>
            </w:r>
            <w:r>
              <w:rPr>
                <w:color w:val="auto"/>
                <w:highlight w:val="none"/>
              </w:rPr>
              <w:t>分</w:t>
            </w:r>
            <w:r>
              <w:rPr>
                <w:rFonts w:hint="eastAsia"/>
                <w:color w:val="auto"/>
                <w:highlight w:val="none"/>
              </w:rPr>
              <w:t>。(备注：2.1项与2.2项人员不能重复计算)</w:t>
            </w:r>
          </w:p>
        </w:tc>
        <w:tc>
          <w:tcPr>
            <w:tcW w:w="2715" w:type="dxa"/>
            <w:noWrap/>
            <w:vAlign w:val="center"/>
          </w:tcPr>
          <w:p w14:paraId="73A9A832">
            <w:pPr>
              <w:pStyle w:val="2"/>
              <w:rPr>
                <w:color w:val="auto"/>
                <w:highlight w:val="none"/>
              </w:rPr>
            </w:pPr>
            <w:r>
              <w:rPr>
                <w:rFonts w:hint="eastAsia"/>
                <w:color w:val="auto"/>
                <w:highlight w:val="none"/>
              </w:rPr>
              <w:t>1</w:t>
            </w:r>
            <w:r>
              <w:rPr>
                <w:color w:val="auto"/>
                <w:highlight w:val="none"/>
              </w:rPr>
              <w:t>.提供</w:t>
            </w:r>
            <w:r>
              <w:rPr>
                <w:rFonts w:hint="eastAsia"/>
                <w:color w:val="auto"/>
                <w:highlight w:val="none"/>
              </w:rPr>
              <w:t>人员证件、</w:t>
            </w:r>
            <w:r>
              <w:rPr>
                <w:color w:val="auto"/>
                <w:highlight w:val="none"/>
              </w:rPr>
              <w:t>职称</w:t>
            </w:r>
            <w:r>
              <w:rPr>
                <w:rFonts w:hint="eastAsia"/>
                <w:color w:val="auto"/>
                <w:highlight w:val="none"/>
              </w:rPr>
              <w:t>、资格</w:t>
            </w:r>
            <w:r>
              <w:rPr>
                <w:color w:val="auto"/>
                <w:highlight w:val="none"/>
              </w:rPr>
              <w:t>等相关证书复印件；</w:t>
            </w:r>
            <w:r>
              <w:rPr>
                <w:rFonts w:hint="eastAsia"/>
                <w:color w:val="auto"/>
                <w:highlight w:val="none"/>
              </w:rPr>
              <w:t>2</w:t>
            </w:r>
            <w:r>
              <w:rPr>
                <w:color w:val="auto"/>
                <w:highlight w:val="none"/>
              </w:rPr>
              <w:t>.提供拟派人员为</w:t>
            </w:r>
            <w:r>
              <w:rPr>
                <w:rFonts w:hint="eastAsia"/>
                <w:color w:val="auto"/>
                <w:highlight w:val="none"/>
              </w:rPr>
              <w:t>投标单位</w:t>
            </w:r>
            <w:r>
              <w:rPr>
                <w:color w:val="auto"/>
                <w:highlight w:val="none"/>
              </w:rPr>
              <w:t>本单位在职人员的证明材料（近三个月的缴纳社保凭证复印件）。</w:t>
            </w:r>
          </w:p>
        </w:tc>
      </w:tr>
      <w:tr w14:paraId="73C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610" w:type="dxa"/>
            <w:noWrap/>
            <w:vAlign w:val="center"/>
          </w:tcPr>
          <w:p w14:paraId="0A428CAD">
            <w:pPr>
              <w:pStyle w:val="2"/>
              <w:rPr>
                <w:rFonts w:hint="eastAsia" w:eastAsia="宋体"/>
                <w:color w:val="auto"/>
                <w:highlight w:val="none"/>
                <w:lang w:eastAsia="zh-CN"/>
              </w:rPr>
            </w:pPr>
            <w:r>
              <w:rPr>
                <w:rFonts w:hint="eastAsia"/>
                <w:color w:val="auto"/>
                <w:highlight w:val="none"/>
                <w:lang w:val="en-US" w:eastAsia="zh-CN"/>
              </w:rPr>
              <w:t>4</w:t>
            </w:r>
          </w:p>
        </w:tc>
        <w:tc>
          <w:tcPr>
            <w:tcW w:w="1318" w:type="dxa"/>
            <w:noWrap/>
            <w:vAlign w:val="center"/>
          </w:tcPr>
          <w:p w14:paraId="38CD2249">
            <w:pPr>
              <w:pStyle w:val="2"/>
              <w:rPr>
                <w:color w:val="auto"/>
                <w:highlight w:val="none"/>
              </w:rPr>
            </w:pPr>
            <w:r>
              <w:rPr>
                <w:color w:val="auto"/>
                <w:highlight w:val="none"/>
              </w:rPr>
              <w:t>服务方案</w:t>
            </w:r>
            <w:r>
              <w:rPr>
                <w:rFonts w:hint="eastAsia"/>
                <w:color w:val="auto"/>
                <w:highlight w:val="none"/>
              </w:rPr>
              <w:t>32</w:t>
            </w:r>
            <w:r>
              <w:rPr>
                <w:color w:val="auto"/>
                <w:highlight w:val="none"/>
              </w:rPr>
              <w:t>%</w:t>
            </w:r>
          </w:p>
        </w:tc>
        <w:tc>
          <w:tcPr>
            <w:tcW w:w="765" w:type="dxa"/>
            <w:noWrap/>
            <w:vAlign w:val="center"/>
          </w:tcPr>
          <w:p w14:paraId="00CB3834">
            <w:pPr>
              <w:pStyle w:val="2"/>
              <w:rPr>
                <w:color w:val="auto"/>
                <w:highlight w:val="none"/>
              </w:rPr>
            </w:pPr>
            <w:r>
              <w:rPr>
                <w:rFonts w:hint="eastAsia"/>
                <w:color w:val="auto"/>
                <w:highlight w:val="none"/>
              </w:rPr>
              <w:t>32</w:t>
            </w:r>
            <w:r>
              <w:rPr>
                <w:color w:val="auto"/>
                <w:highlight w:val="none"/>
              </w:rPr>
              <w:t>分</w:t>
            </w:r>
          </w:p>
        </w:tc>
        <w:tc>
          <w:tcPr>
            <w:tcW w:w="4374" w:type="dxa"/>
            <w:noWrap/>
            <w:vAlign w:val="center"/>
          </w:tcPr>
          <w:p w14:paraId="79287D57">
            <w:pPr>
              <w:pStyle w:val="2"/>
              <w:rPr>
                <w:color w:val="auto"/>
                <w:highlight w:val="none"/>
              </w:rPr>
            </w:pPr>
            <w:r>
              <w:rPr>
                <w:rFonts w:hint="eastAsia"/>
                <w:color w:val="auto"/>
                <w:highlight w:val="none"/>
              </w:rPr>
              <w:t>投标单位</w:t>
            </w:r>
            <w:r>
              <w:rPr>
                <w:color w:val="auto"/>
                <w:highlight w:val="none"/>
              </w:rPr>
              <w:t>根据采购单位需求及项目实际情况编制服务方案，方案中需包含</w:t>
            </w:r>
            <w:r>
              <w:rPr>
                <w:rFonts w:ascii="Times New Roman" w:hAnsi="Times New Roman"/>
                <w:color w:val="auto"/>
                <w:highlight w:val="none"/>
              </w:rPr>
              <w:t>①技术服务方案；②质量控制；③应急方案；④服务保障；⑤安全教育、技能培训安排；⑥现场技术支持及响应时间⑦整改后的复评（再次评估）；</w:t>
            </w:r>
            <w:r>
              <w:rPr>
                <w:rFonts w:hint="eastAsia"/>
                <w:color w:val="auto"/>
                <w:highlight w:val="none"/>
              </w:rPr>
              <w:t>⑧</w:t>
            </w:r>
            <w:r>
              <w:rPr>
                <w:color w:val="auto"/>
                <w:highlight w:val="none"/>
              </w:rPr>
              <w:t>保密措施的制定与执行。</w:t>
            </w:r>
          </w:p>
          <w:p w14:paraId="46749C71">
            <w:pPr>
              <w:pStyle w:val="2"/>
              <w:rPr>
                <w:color w:val="auto"/>
                <w:highlight w:val="none"/>
              </w:rPr>
            </w:pPr>
            <w:r>
              <w:rPr>
                <w:color w:val="auto"/>
                <w:highlight w:val="none"/>
              </w:rPr>
              <w:t>以上</w:t>
            </w:r>
            <w:r>
              <w:rPr>
                <w:rFonts w:hint="eastAsia"/>
                <w:color w:val="auto"/>
                <w:highlight w:val="none"/>
              </w:rPr>
              <w:t>8</w:t>
            </w:r>
            <w:r>
              <w:rPr>
                <w:color w:val="auto"/>
                <w:highlight w:val="none"/>
              </w:rPr>
              <w:t>项内容：每有一项内容符合项目实际需求无缺陷的得</w:t>
            </w:r>
            <w:r>
              <w:rPr>
                <w:rFonts w:hint="eastAsia"/>
                <w:color w:val="auto"/>
                <w:highlight w:val="none"/>
              </w:rPr>
              <w:t>4</w:t>
            </w:r>
            <w:r>
              <w:rPr>
                <w:color w:val="auto"/>
                <w:highlight w:val="none"/>
              </w:rPr>
              <w:t>分，最多得</w:t>
            </w:r>
            <w:r>
              <w:rPr>
                <w:rFonts w:hint="eastAsia"/>
                <w:color w:val="auto"/>
                <w:highlight w:val="none"/>
              </w:rPr>
              <w:t>32</w:t>
            </w:r>
            <w:r>
              <w:rPr>
                <w:color w:val="auto"/>
                <w:highlight w:val="none"/>
              </w:rPr>
              <w:t>分；在</w:t>
            </w:r>
            <w:r>
              <w:rPr>
                <w:rFonts w:hint="eastAsia"/>
                <w:color w:val="auto"/>
                <w:highlight w:val="none"/>
              </w:rPr>
              <w:t>32</w:t>
            </w:r>
            <w:r>
              <w:rPr>
                <w:color w:val="auto"/>
                <w:highlight w:val="none"/>
              </w:rPr>
              <w:t>分基础上，每有一项缺失的扣</w:t>
            </w:r>
            <w:r>
              <w:rPr>
                <w:rFonts w:hint="eastAsia"/>
                <w:color w:val="auto"/>
                <w:highlight w:val="none"/>
              </w:rPr>
              <w:t>4</w:t>
            </w:r>
            <w:r>
              <w:rPr>
                <w:color w:val="auto"/>
                <w:highlight w:val="none"/>
              </w:rPr>
              <w:t>分</w:t>
            </w:r>
            <w:r>
              <w:rPr>
                <w:rFonts w:hint="eastAsia"/>
                <w:color w:val="auto"/>
                <w:highlight w:val="none"/>
              </w:rPr>
              <w:t>，</w:t>
            </w:r>
            <w:r>
              <w:rPr>
                <w:color w:val="auto"/>
                <w:highlight w:val="none"/>
              </w:rPr>
              <w:t>每有一处存在缺陷</w:t>
            </w:r>
            <w:r>
              <w:rPr>
                <w:rFonts w:hint="eastAsia"/>
                <w:color w:val="auto"/>
                <w:highlight w:val="none"/>
              </w:rPr>
              <w:t>或内容约简</w:t>
            </w:r>
            <w:r>
              <w:rPr>
                <w:color w:val="auto"/>
                <w:highlight w:val="none"/>
              </w:rPr>
              <w:t>的扣</w:t>
            </w:r>
            <w:r>
              <w:rPr>
                <w:rFonts w:hint="eastAsia"/>
                <w:color w:val="auto"/>
                <w:highlight w:val="none"/>
              </w:rPr>
              <w:t>3</w:t>
            </w:r>
            <w:r>
              <w:rPr>
                <w:color w:val="auto"/>
                <w:highlight w:val="none"/>
              </w:rPr>
              <w:t>分。</w:t>
            </w:r>
          </w:p>
        </w:tc>
        <w:tc>
          <w:tcPr>
            <w:tcW w:w="2715" w:type="dxa"/>
            <w:noWrap/>
            <w:vAlign w:val="center"/>
          </w:tcPr>
          <w:p w14:paraId="3641ED74">
            <w:pPr>
              <w:pStyle w:val="2"/>
              <w:rPr>
                <w:color w:val="auto"/>
                <w:highlight w:val="none"/>
              </w:rPr>
            </w:pPr>
          </w:p>
        </w:tc>
      </w:tr>
      <w:tr w14:paraId="57D1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610" w:type="dxa"/>
            <w:noWrap/>
            <w:vAlign w:val="center"/>
          </w:tcPr>
          <w:p w14:paraId="36988F18">
            <w:pPr>
              <w:pStyle w:val="2"/>
              <w:rPr>
                <w:rFonts w:hint="eastAsia" w:eastAsia="宋体"/>
                <w:color w:val="auto"/>
                <w:highlight w:val="none"/>
                <w:lang w:eastAsia="zh-CN"/>
              </w:rPr>
            </w:pPr>
            <w:r>
              <w:rPr>
                <w:rFonts w:hint="eastAsia"/>
                <w:color w:val="auto"/>
                <w:highlight w:val="none"/>
                <w:lang w:val="en-US" w:eastAsia="zh-CN"/>
              </w:rPr>
              <w:t>5</w:t>
            </w:r>
          </w:p>
        </w:tc>
        <w:tc>
          <w:tcPr>
            <w:tcW w:w="1318" w:type="dxa"/>
            <w:noWrap/>
            <w:vAlign w:val="center"/>
          </w:tcPr>
          <w:p w14:paraId="75CD265A">
            <w:pPr>
              <w:pStyle w:val="2"/>
              <w:rPr>
                <w:color w:val="auto"/>
                <w:highlight w:val="none"/>
              </w:rPr>
            </w:pPr>
            <w:r>
              <w:rPr>
                <w:color w:val="auto"/>
                <w:highlight w:val="none"/>
              </w:rPr>
              <w:t>业绩</w:t>
            </w:r>
            <w:r>
              <w:rPr>
                <w:rFonts w:hint="eastAsia"/>
                <w:color w:val="auto"/>
                <w:highlight w:val="none"/>
                <w:lang w:val="en-US" w:eastAsia="zh-CN"/>
              </w:rPr>
              <w:t>9</w:t>
            </w:r>
            <w:r>
              <w:rPr>
                <w:color w:val="auto"/>
                <w:highlight w:val="none"/>
              </w:rPr>
              <w:t>%</w:t>
            </w:r>
          </w:p>
        </w:tc>
        <w:tc>
          <w:tcPr>
            <w:tcW w:w="765" w:type="dxa"/>
            <w:noWrap/>
            <w:vAlign w:val="center"/>
          </w:tcPr>
          <w:p w14:paraId="49D8F756">
            <w:pPr>
              <w:pStyle w:val="2"/>
              <w:rPr>
                <w:color w:val="auto"/>
                <w:highlight w:val="none"/>
              </w:rPr>
            </w:pPr>
            <w:r>
              <w:rPr>
                <w:rFonts w:hint="eastAsia"/>
                <w:color w:val="auto"/>
                <w:highlight w:val="none"/>
                <w:lang w:val="en-US" w:eastAsia="zh-CN"/>
              </w:rPr>
              <w:t>9</w:t>
            </w:r>
            <w:r>
              <w:rPr>
                <w:color w:val="auto"/>
                <w:highlight w:val="none"/>
              </w:rPr>
              <w:t>分</w:t>
            </w:r>
          </w:p>
        </w:tc>
        <w:tc>
          <w:tcPr>
            <w:tcW w:w="4374" w:type="dxa"/>
            <w:noWrap/>
            <w:vAlign w:val="center"/>
          </w:tcPr>
          <w:p w14:paraId="1DD17DCD">
            <w:pPr>
              <w:pStyle w:val="2"/>
              <w:rPr>
                <w:color w:val="auto"/>
                <w:highlight w:val="none"/>
              </w:rPr>
            </w:pPr>
            <w:r>
              <w:rPr>
                <w:color w:val="auto"/>
                <w:highlight w:val="none"/>
              </w:rPr>
              <w:t>202</w:t>
            </w:r>
            <w:r>
              <w:rPr>
                <w:rFonts w:hint="eastAsia"/>
                <w:color w:val="auto"/>
                <w:highlight w:val="none"/>
              </w:rPr>
              <w:t>3</w:t>
            </w:r>
            <w:r>
              <w:rPr>
                <w:color w:val="auto"/>
                <w:highlight w:val="none"/>
              </w:rPr>
              <w:t>年1月以来，</w:t>
            </w:r>
            <w:r>
              <w:rPr>
                <w:rFonts w:hint="eastAsia"/>
                <w:color w:val="auto"/>
                <w:highlight w:val="none"/>
              </w:rPr>
              <w:t>提供电梯安全评估类似</w:t>
            </w:r>
            <w:r>
              <w:rPr>
                <w:color w:val="auto"/>
                <w:highlight w:val="none"/>
              </w:rPr>
              <w:t>业绩，每提供一个类似业绩得</w:t>
            </w:r>
            <w:r>
              <w:rPr>
                <w:rFonts w:hint="eastAsia"/>
                <w:color w:val="auto"/>
                <w:highlight w:val="none"/>
              </w:rPr>
              <w:t>1</w:t>
            </w:r>
            <w:r>
              <w:rPr>
                <w:color w:val="auto"/>
                <w:highlight w:val="none"/>
              </w:rPr>
              <w:t>分，最高得</w:t>
            </w:r>
            <w:r>
              <w:rPr>
                <w:rFonts w:hint="eastAsia"/>
                <w:color w:val="auto"/>
                <w:highlight w:val="none"/>
                <w:lang w:val="en-US" w:eastAsia="zh-CN"/>
              </w:rPr>
              <w:t>9</w:t>
            </w:r>
            <w:r>
              <w:rPr>
                <w:color w:val="auto"/>
                <w:highlight w:val="none"/>
              </w:rPr>
              <w:t>分。</w:t>
            </w:r>
          </w:p>
        </w:tc>
        <w:tc>
          <w:tcPr>
            <w:tcW w:w="2715" w:type="dxa"/>
            <w:noWrap/>
            <w:vAlign w:val="center"/>
          </w:tcPr>
          <w:p w14:paraId="24FEBECF">
            <w:pPr>
              <w:pStyle w:val="2"/>
              <w:rPr>
                <w:color w:val="auto"/>
                <w:highlight w:val="none"/>
              </w:rPr>
            </w:pPr>
            <w:r>
              <w:rPr>
                <w:color w:val="auto"/>
                <w:highlight w:val="none"/>
              </w:rPr>
              <w:t>提供合同</w:t>
            </w:r>
            <w:r>
              <w:rPr>
                <w:rFonts w:hint="eastAsia"/>
                <w:color w:val="auto"/>
                <w:highlight w:val="none"/>
                <w:lang w:eastAsia="zh-CN"/>
              </w:rPr>
              <w:t>复印件</w:t>
            </w:r>
            <w:r>
              <w:rPr>
                <w:color w:val="auto"/>
                <w:highlight w:val="none"/>
              </w:rPr>
              <w:t>（并加盖公章）。</w:t>
            </w:r>
          </w:p>
        </w:tc>
      </w:tr>
    </w:tbl>
    <w:p w14:paraId="12D850D0">
      <w:pPr>
        <w:pStyle w:val="2"/>
        <w:rPr>
          <w:color w:val="auto"/>
          <w:highlight w:val="none"/>
        </w:rPr>
      </w:pPr>
    </w:p>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6"/>
    <w:bookmarkEnd w:id="51"/>
    <w:p w14:paraId="618B41BE">
      <w:pPr>
        <w:pStyle w:val="149"/>
        <w:ind w:right="439"/>
        <w:jc w:val="center"/>
        <w:rPr>
          <w:rFonts w:ascii="黑体" w:hAnsi="黑体" w:eastAsia="黑体"/>
          <w:b/>
          <w:color w:val="auto"/>
          <w:highlight w:val="none"/>
        </w:rPr>
      </w:pPr>
      <w:bookmarkStart w:id="52" w:name="_Toc217446061"/>
      <w:bookmarkStart w:id="53" w:name="_Toc217446105"/>
      <w:bookmarkStart w:id="54" w:name="_Toc208849022"/>
      <w:bookmarkStart w:id="55" w:name="_Toc183582297"/>
      <w:bookmarkStart w:id="56" w:name="_Toc183682432"/>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2"/>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7"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7"/>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3"/>
    <w:bookmarkEnd w:id="54"/>
    <w:bookmarkEnd w:id="55"/>
    <w:bookmarkEnd w:id="56"/>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8" w:name="_Toc11901"/>
      <w:bookmarkStart w:id="59" w:name="_Toc30899"/>
      <w:bookmarkStart w:id="60" w:name="_Toc134536607"/>
      <w:r>
        <w:rPr>
          <w:rFonts w:hint="eastAsia" w:ascii="Cambria" w:hAnsi="Cambria" w:eastAsia="华文中宋"/>
          <w:b/>
          <w:bCs/>
          <w:color w:val="auto"/>
          <w:sz w:val="36"/>
          <w:szCs w:val="32"/>
          <w:highlight w:val="none"/>
        </w:rPr>
        <w:t>第六章  广安市人民医院供应商黑名单管理办法</w:t>
      </w:r>
      <w:bookmarkEnd w:id="58"/>
      <w:bookmarkEnd w:id="59"/>
      <w:bookmarkEnd w:id="60"/>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8"/>
      </w:rPr>
    </w:pPr>
    <w:r>
      <w:fldChar w:fldCharType="begin"/>
    </w:r>
    <w:r>
      <w:rPr>
        <w:rStyle w:val="48"/>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1B0"/>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001"/>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67CD"/>
    <w:rsid w:val="00937EA0"/>
    <w:rsid w:val="00941211"/>
    <w:rsid w:val="00941EDB"/>
    <w:rsid w:val="009439FC"/>
    <w:rsid w:val="00944A14"/>
    <w:rsid w:val="00944FD1"/>
    <w:rsid w:val="00946CD0"/>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03"/>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A1F"/>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28E13EB"/>
    <w:rsid w:val="02985DC6"/>
    <w:rsid w:val="03422543"/>
    <w:rsid w:val="036B5CE3"/>
    <w:rsid w:val="03C375BE"/>
    <w:rsid w:val="03D80399"/>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47E3FD5"/>
    <w:rsid w:val="14CE3549"/>
    <w:rsid w:val="14E24037"/>
    <w:rsid w:val="151B2A92"/>
    <w:rsid w:val="154B17F0"/>
    <w:rsid w:val="15A25A23"/>
    <w:rsid w:val="16277BF7"/>
    <w:rsid w:val="164E610E"/>
    <w:rsid w:val="16775A33"/>
    <w:rsid w:val="16D57191"/>
    <w:rsid w:val="17662E4D"/>
    <w:rsid w:val="179130E9"/>
    <w:rsid w:val="186407CC"/>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61971"/>
    <w:rsid w:val="1BE72051"/>
    <w:rsid w:val="1C32512B"/>
    <w:rsid w:val="1C6B75FB"/>
    <w:rsid w:val="1C9B58AF"/>
    <w:rsid w:val="1D137A9E"/>
    <w:rsid w:val="1D27191A"/>
    <w:rsid w:val="1D3E188D"/>
    <w:rsid w:val="1D4D2860"/>
    <w:rsid w:val="1D5B26FA"/>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C8724E"/>
    <w:rsid w:val="2BE31C66"/>
    <w:rsid w:val="2C196C94"/>
    <w:rsid w:val="2C2A3EE0"/>
    <w:rsid w:val="2C2C56CC"/>
    <w:rsid w:val="2C585898"/>
    <w:rsid w:val="2C815890"/>
    <w:rsid w:val="2C904172"/>
    <w:rsid w:val="2C9756FA"/>
    <w:rsid w:val="2CC92FC1"/>
    <w:rsid w:val="2CE50742"/>
    <w:rsid w:val="2CED381A"/>
    <w:rsid w:val="2D877C51"/>
    <w:rsid w:val="2E1A39E0"/>
    <w:rsid w:val="2E1F376F"/>
    <w:rsid w:val="2E345E70"/>
    <w:rsid w:val="2E70173F"/>
    <w:rsid w:val="2EDE572C"/>
    <w:rsid w:val="2EE77D64"/>
    <w:rsid w:val="2F6D2902"/>
    <w:rsid w:val="2F9100A2"/>
    <w:rsid w:val="304E470D"/>
    <w:rsid w:val="31020493"/>
    <w:rsid w:val="312B6C4A"/>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8B353F"/>
    <w:rsid w:val="3AC377EB"/>
    <w:rsid w:val="3AEDC156"/>
    <w:rsid w:val="3AF602B9"/>
    <w:rsid w:val="3B146AFA"/>
    <w:rsid w:val="3C0A467A"/>
    <w:rsid w:val="3C3D48E0"/>
    <w:rsid w:val="3CA75736"/>
    <w:rsid w:val="3CEE66BB"/>
    <w:rsid w:val="3D2B1073"/>
    <w:rsid w:val="3DA32482"/>
    <w:rsid w:val="3E5B6D21"/>
    <w:rsid w:val="3F7766BA"/>
    <w:rsid w:val="3F8F680D"/>
    <w:rsid w:val="3FE83F56"/>
    <w:rsid w:val="405D2BB1"/>
    <w:rsid w:val="406E2EA5"/>
    <w:rsid w:val="409C6C06"/>
    <w:rsid w:val="420C765B"/>
    <w:rsid w:val="424A19F9"/>
    <w:rsid w:val="42965036"/>
    <w:rsid w:val="42A136C8"/>
    <w:rsid w:val="43385DE0"/>
    <w:rsid w:val="434A65F1"/>
    <w:rsid w:val="441F2254"/>
    <w:rsid w:val="45713F3C"/>
    <w:rsid w:val="458D460F"/>
    <w:rsid w:val="466153D1"/>
    <w:rsid w:val="466F6861"/>
    <w:rsid w:val="46B12981"/>
    <w:rsid w:val="472D42FC"/>
    <w:rsid w:val="4784106F"/>
    <w:rsid w:val="47C47C58"/>
    <w:rsid w:val="482F6C84"/>
    <w:rsid w:val="4898194F"/>
    <w:rsid w:val="4950330D"/>
    <w:rsid w:val="4AA308BA"/>
    <w:rsid w:val="4B440486"/>
    <w:rsid w:val="4B6F6A11"/>
    <w:rsid w:val="4BBD2646"/>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BF59EF"/>
    <w:rsid w:val="68E34702"/>
    <w:rsid w:val="6A29672D"/>
    <w:rsid w:val="6A61123F"/>
    <w:rsid w:val="6AA22F73"/>
    <w:rsid w:val="6AFF7553"/>
    <w:rsid w:val="6B085319"/>
    <w:rsid w:val="6B1406EB"/>
    <w:rsid w:val="6B635979"/>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B52F37"/>
    <w:rsid w:val="71FFAC80"/>
    <w:rsid w:val="7238752D"/>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caption"/>
    <w:basedOn w:val="1"/>
    <w:next w:val="1"/>
    <w:qFormat/>
    <w:uiPriority w:val="0"/>
    <w:rPr>
      <w:rFonts w:ascii="Cambria" w:hAnsi="Cambria" w:eastAsia="黑体" w:cs="Droid Sans"/>
      <w:sz w:val="20"/>
      <w:szCs w:val="20"/>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
    <w:link w:val="95"/>
    <w:qFormat/>
    <w:uiPriority w:val="0"/>
    <w:pPr>
      <w:tabs>
        <w:tab w:val="left" w:pos="1500"/>
      </w:tabs>
      <w:spacing w:line="360" w:lineRule="auto"/>
    </w:pPr>
    <w:rPr>
      <w:rFonts w:ascii="宋体" w:hAnsi="宋体"/>
      <w:sz w:val="24"/>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30"/>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7"/>
    <w:qFormat/>
    <w:uiPriority w:val="0"/>
    <w:pPr>
      <w:adjustRightInd/>
      <w:spacing w:line="240" w:lineRule="auto"/>
      <w:textAlignment w:val="auto"/>
    </w:pPr>
    <w:rPr>
      <w:b/>
      <w:bCs/>
      <w:kern w:val="2"/>
      <w:sz w:val="21"/>
      <w:szCs w:val="24"/>
    </w:rPr>
  </w:style>
  <w:style w:type="paragraph" w:styleId="42">
    <w:name w:val="Body Text First Indent"/>
    <w:basedOn w:val="1"/>
    <w:link w:val="102"/>
    <w:qFormat/>
    <w:uiPriority w:val="0"/>
    <w:pPr>
      <w:spacing w:after="120"/>
      <w:ind w:firstLine="420" w:firstLineChars="100"/>
    </w:pPr>
  </w:style>
  <w:style w:type="paragraph" w:styleId="43">
    <w:name w:val="Body Text First Indent 2"/>
    <w:basedOn w:val="18"/>
    <w:unhideWhenUsed/>
    <w:qFormat/>
    <w:uiPriority w:val="0"/>
    <w:pPr>
      <w:ind w:firstLine="420" w:firstLineChars="20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3"/>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5"/>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32"/>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8"/>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2"/>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8"/>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6"/>
    <w:qFormat/>
    <w:uiPriority w:val="0"/>
  </w:style>
  <w:style w:type="character" w:customStyle="1" w:styleId="189">
    <w:name w:val="item-name"/>
    <w:basedOn w:val="46"/>
    <w:qFormat/>
    <w:uiPriority w:val="0"/>
  </w:style>
  <w:style w:type="character" w:customStyle="1" w:styleId="190">
    <w:name w:val="item-name1"/>
    <w:basedOn w:val="46"/>
    <w:qFormat/>
    <w:uiPriority w:val="0"/>
  </w:style>
  <w:style w:type="character" w:customStyle="1" w:styleId="191">
    <w:name w:val="datetime"/>
    <w:basedOn w:val="46"/>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6"/>
    <w:semiHidden/>
    <w:unhideWhenUsed/>
    <w:qFormat/>
    <w:uiPriority w:val="99"/>
    <w:rPr>
      <w:color w:val="605E5C"/>
      <w:shd w:val="clear" w:color="auto" w:fill="E1DFDD"/>
    </w:rPr>
  </w:style>
  <w:style w:type="table" w:customStyle="1" w:styleId="195">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6"/>
    <w:qFormat/>
    <w:uiPriority w:val="0"/>
    <w:rPr>
      <w:rFonts w:hint="eastAsia" w:ascii="宋体" w:hAnsi="宋体" w:eastAsia="宋体" w:cs="宋体"/>
      <w:color w:val="000000"/>
      <w:sz w:val="20"/>
      <w:szCs w:val="20"/>
      <w:u w:val="none"/>
    </w:rPr>
  </w:style>
  <w:style w:type="character" w:customStyle="1" w:styleId="197">
    <w:name w:val="NormalCharacter"/>
    <w:semiHidden/>
    <w:qFormat/>
    <w:uiPriority w:val="0"/>
    <w:rPr>
      <w:color w:val="000000"/>
      <w:sz w:val="21"/>
      <w:szCs w:val="21"/>
      <w:lang w:val="en-US" w:eastAsia="zh-CN" w:bidi="ar-SA"/>
    </w:rPr>
  </w:style>
  <w:style w:type="paragraph" w:customStyle="1" w:styleId="198">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7472</Words>
  <Characters>7824</Characters>
  <Lines>112</Lines>
  <Paragraphs>31</Paragraphs>
  <TotalTime>35</TotalTime>
  <ScaleCrop>false</ScaleCrop>
  <LinksUpToDate>false</LinksUpToDate>
  <CharactersWithSpaces>8044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tao</cp:lastModifiedBy>
  <cp:lastPrinted>2025-01-02T03:52:00Z</cp:lastPrinted>
  <dcterms:modified xsi:type="dcterms:W3CDTF">2025-09-09T03:09:59Z</dcterms:modified>
  <dc:title>第一章</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7FDC18090354459A8D521BE52354C876_13</vt:lpwstr>
  </property>
  <property fmtid="{D5CDD505-2E9C-101B-9397-08002B2CF9AE}" pid="4" name="KSOTemplateDocerSaveRecord">
    <vt:lpwstr>eyJoZGlkIjoiOGFkYmYxZTQwODIwNWFmNzM5MDE0ZWUyNDYyMDdhMjAiLCJ1c2VySWQiOiI2MDE0NzUzMzAifQ==</vt:lpwstr>
  </property>
</Properties>
</file>