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5E2B425">
      <w:pPr>
        <w:jc w:val="center"/>
        <w:rPr>
          <w:rFonts w:ascii="华文中宋" w:hAnsi="华文中宋" w:eastAsia="华文中宋"/>
          <w:b/>
          <w:sz w:val="44"/>
          <w:szCs w:val="44"/>
        </w:rPr>
      </w:pPr>
      <w:r>
        <w:rPr>
          <w:rFonts w:hint="eastAsia" w:ascii="华文中宋" w:hAnsi="华文中宋" w:eastAsia="华文中宋"/>
          <w:b/>
          <w:sz w:val="44"/>
          <w:szCs w:val="44"/>
        </w:rPr>
        <w:t>妇科</w:t>
      </w:r>
      <w:bookmarkStart w:id="1" w:name="_Hlk207200687"/>
      <w:r>
        <w:rPr>
          <w:rFonts w:hint="eastAsia" w:ascii="华文中宋" w:hAnsi="华文中宋" w:eastAsia="华文中宋"/>
          <w:b/>
          <w:sz w:val="44"/>
          <w:szCs w:val="44"/>
        </w:rPr>
        <w:t>负压吸引器</w:t>
      </w:r>
      <w:bookmarkEnd w:id="1"/>
      <w:r>
        <w:rPr>
          <w:rFonts w:hint="eastAsia" w:ascii="华文中宋" w:hAnsi="华文中宋" w:eastAsia="华文中宋"/>
          <w:b/>
          <w:sz w:val="44"/>
          <w:szCs w:val="44"/>
        </w:rPr>
        <w:t>及配套耗材</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2525CFE0">
      <w:pPr>
        <w:jc w:val="center"/>
        <w:rPr>
          <w:rFonts w:ascii="华文中宋" w:hAnsi="华文中宋" w:eastAsia="华文中宋"/>
          <w:b/>
          <w:sz w:val="48"/>
          <w:szCs w:val="48"/>
        </w:rPr>
      </w:pP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1028</w:t>
      </w:r>
      <w:r>
        <w:rPr>
          <w:rFonts w:ascii="华文中宋" w:hAnsi="华文中宋" w:eastAsia="华文中宋" w:cs="Tahoma"/>
          <w:b/>
          <w:sz w:val="32"/>
          <w:szCs w:val="32"/>
          <w:shd w:val="clear" w:color="auto" w:fill="FFFFFF"/>
        </w:rPr>
        <w:t>-01</w:t>
      </w:r>
    </w:p>
    <w:p w14:paraId="76D3A361">
      <w:pPr>
        <w:rPr>
          <w:rFonts w:ascii="华文中宋" w:hAnsi="华文中宋" w:eastAsia="华文中宋"/>
          <w:b/>
          <w:sz w:val="72"/>
          <w:szCs w:val="72"/>
        </w:rPr>
      </w:pPr>
    </w:p>
    <w:p w14:paraId="302FB2E1">
      <w:pPr>
        <w:jc w:val="center"/>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11</w:t>
      </w:r>
      <w:r>
        <w:rPr>
          <w:rFonts w:hint="eastAsia" w:ascii="华文中宋" w:hAnsi="华文中宋" w:eastAsia="华文中宋"/>
          <w:b/>
          <w:sz w:val="32"/>
          <w:szCs w:val="32"/>
        </w:rPr>
        <w:t>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第六章  广安市人民医院供应商黑名单管理办法</w:t>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25893"/>
      <w:bookmarkStart w:id="3" w:name="_Toc372813218"/>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hint="eastAsia" w:ascii="宋体" w:hAnsi="宋体" w:eastAsia="宋体"/>
          <w:b/>
          <w:bCs/>
          <w:sz w:val="24"/>
          <w:lang w:eastAsia="zh-CN"/>
        </w:rPr>
      </w:pPr>
      <w:r>
        <w:rPr>
          <w:rFonts w:hint="eastAsia" w:ascii="宋体" w:hAnsi="宋体"/>
          <w:b/>
          <w:bCs/>
          <w:sz w:val="24"/>
        </w:rPr>
        <w:t>二、项目名称：广安市人民医院/四川大学华西医院广安医院妇科负压吸引器及配套耗材</w:t>
      </w:r>
      <w:r>
        <w:rPr>
          <w:rFonts w:hint="eastAsia" w:ascii="宋体" w:hAnsi="宋体"/>
          <w:b/>
          <w:bCs/>
          <w:sz w:val="24"/>
          <w:lang w:eastAsia="zh-CN"/>
        </w:rPr>
        <w:t>（二次）采购项目</w:t>
      </w:r>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1028</w:t>
      </w:r>
      <w:r>
        <w:rPr>
          <w:rFonts w:ascii="宋体" w:hAnsi="宋体"/>
          <w:b/>
          <w:bCs/>
          <w:sz w:val="24"/>
        </w:rPr>
        <w:t>-01</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申请科室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4" w:type="dxa"/>
            <w:vAlign w:val="center"/>
          </w:tcPr>
          <w:p w14:paraId="3A9C9E81">
            <w:pPr>
              <w:autoSpaceDE w:val="0"/>
              <w:autoSpaceDN w:val="0"/>
              <w:adjustRightInd w:val="0"/>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jc w:val="center"/>
              <w:rPr>
                <w:rFonts w:ascii="宋体" w:hAnsi="宋体"/>
                <w:sz w:val="24"/>
              </w:rPr>
            </w:pPr>
            <w:r>
              <w:rPr>
                <w:rFonts w:hint="eastAsia" w:ascii="宋体" w:hAnsi="宋体"/>
                <w:sz w:val="24"/>
              </w:rPr>
              <w:t>负压吸引器</w:t>
            </w:r>
          </w:p>
        </w:tc>
        <w:tc>
          <w:tcPr>
            <w:tcW w:w="992" w:type="dxa"/>
            <w:vAlign w:val="center"/>
          </w:tcPr>
          <w:p w14:paraId="4267A4CA">
            <w:pPr>
              <w:autoSpaceDE w:val="0"/>
              <w:autoSpaceDN w:val="0"/>
              <w:adjustRightInd w:val="0"/>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jc w:val="center"/>
              <w:rPr>
                <w:rFonts w:ascii="宋体" w:hAnsi="宋体"/>
                <w:kern w:val="0"/>
                <w:sz w:val="24"/>
              </w:rPr>
            </w:pPr>
            <w:r>
              <w:rPr>
                <w:rFonts w:hint="eastAsia" w:ascii="宋体" w:hAnsi="宋体"/>
                <w:kern w:val="0"/>
                <w:sz w:val="24"/>
              </w:rPr>
              <w:t>80000</w:t>
            </w:r>
          </w:p>
        </w:tc>
        <w:tc>
          <w:tcPr>
            <w:tcW w:w="1275" w:type="dxa"/>
            <w:vAlign w:val="center"/>
          </w:tcPr>
          <w:p w14:paraId="6401210D">
            <w:pPr>
              <w:autoSpaceDE w:val="0"/>
              <w:autoSpaceDN w:val="0"/>
              <w:adjustRightInd w:val="0"/>
              <w:jc w:val="center"/>
              <w:rPr>
                <w:rFonts w:ascii="宋体" w:hAnsi="宋体"/>
                <w:kern w:val="0"/>
                <w:sz w:val="24"/>
              </w:rPr>
            </w:pPr>
            <w:r>
              <w:rPr>
                <w:rFonts w:hint="eastAsia" w:ascii="宋体" w:hAnsi="宋体"/>
                <w:kern w:val="0"/>
                <w:sz w:val="24"/>
              </w:rPr>
              <w:t>80000</w:t>
            </w:r>
          </w:p>
        </w:tc>
        <w:tc>
          <w:tcPr>
            <w:tcW w:w="1276" w:type="dxa"/>
            <w:vAlign w:val="center"/>
          </w:tcPr>
          <w:p w14:paraId="1A5DCBAA">
            <w:pPr>
              <w:autoSpaceDE w:val="0"/>
              <w:autoSpaceDN w:val="0"/>
              <w:adjustRightInd w:val="0"/>
              <w:jc w:val="center"/>
              <w:rPr>
                <w:rFonts w:ascii="宋体" w:hAnsi="宋体"/>
                <w:kern w:val="0"/>
                <w:sz w:val="24"/>
              </w:rPr>
            </w:pPr>
            <w:r>
              <w:rPr>
                <w:rFonts w:hint="eastAsia" w:ascii="宋体" w:hAnsi="宋体"/>
                <w:kern w:val="0"/>
                <w:sz w:val="24"/>
              </w:rPr>
              <w:t>80000</w:t>
            </w:r>
          </w:p>
        </w:tc>
        <w:tc>
          <w:tcPr>
            <w:tcW w:w="1418" w:type="dxa"/>
            <w:vAlign w:val="center"/>
          </w:tcPr>
          <w:p w14:paraId="1B5AE75E">
            <w:pPr>
              <w:autoSpaceDE w:val="0"/>
              <w:autoSpaceDN w:val="0"/>
              <w:adjustRightInd w:val="0"/>
              <w:jc w:val="center"/>
              <w:rPr>
                <w:rFonts w:ascii="宋体" w:hAnsi="宋体"/>
                <w:kern w:val="0"/>
                <w:sz w:val="24"/>
              </w:rPr>
            </w:pPr>
            <w:r>
              <w:rPr>
                <w:rFonts w:hint="eastAsia" w:ascii="宋体" w:hAnsi="宋体"/>
                <w:kern w:val="0"/>
                <w:sz w:val="24"/>
              </w:rPr>
              <w:t>妇科</w:t>
            </w:r>
          </w:p>
        </w:tc>
      </w:tr>
    </w:tbl>
    <w:p w14:paraId="5D837117">
      <w:pPr>
        <w:rPr>
          <w:rFonts w:ascii="宋体" w:hAnsi="宋体"/>
          <w:sz w:val="24"/>
        </w:rPr>
      </w:pPr>
    </w:p>
    <w:p w14:paraId="16965B98">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80"/>
        <w:gridCol w:w="1168"/>
        <w:gridCol w:w="780"/>
        <w:gridCol w:w="1039"/>
        <w:gridCol w:w="1254"/>
        <w:gridCol w:w="826"/>
        <w:gridCol w:w="1380"/>
      </w:tblGrid>
      <w:tr w14:paraId="58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2144A0B3">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2280" w:type="dxa"/>
            <w:vAlign w:val="center"/>
          </w:tcPr>
          <w:p w14:paraId="60D5BBA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168" w:type="dxa"/>
            <w:vAlign w:val="center"/>
          </w:tcPr>
          <w:p w14:paraId="028C101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780" w:type="dxa"/>
            <w:vAlign w:val="center"/>
          </w:tcPr>
          <w:p w14:paraId="52512A53">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1039" w:type="dxa"/>
            <w:vAlign w:val="center"/>
          </w:tcPr>
          <w:p w14:paraId="0ED19D4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54" w:type="dxa"/>
            <w:vAlign w:val="center"/>
          </w:tcPr>
          <w:p w14:paraId="1A8C7A1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826" w:type="dxa"/>
            <w:vAlign w:val="center"/>
          </w:tcPr>
          <w:p w14:paraId="2FCC2987">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是否</w:t>
            </w:r>
            <w:r>
              <w:rPr>
                <w:rFonts w:ascii="宋体" w:hAnsi="宋体"/>
                <w:color w:val="000000"/>
                <w:kern w:val="0"/>
                <w:sz w:val="24"/>
              </w:rPr>
              <w:t>挂网</w:t>
            </w:r>
          </w:p>
        </w:tc>
        <w:tc>
          <w:tcPr>
            <w:tcW w:w="1380" w:type="dxa"/>
            <w:vAlign w:val="center"/>
          </w:tcPr>
          <w:p w14:paraId="1A340259">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申请科室</w:t>
            </w:r>
          </w:p>
        </w:tc>
      </w:tr>
      <w:tr w14:paraId="7185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7214F8D">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1</w:t>
            </w:r>
          </w:p>
        </w:tc>
        <w:tc>
          <w:tcPr>
            <w:tcW w:w="2280" w:type="dxa"/>
            <w:vAlign w:val="center"/>
          </w:tcPr>
          <w:p w14:paraId="63F5BCD2">
            <w:pPr>
              <w:widowControl/>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一次性使用吸引器连接管</w:t>
            </w:r>
          </w:p>
        </w:tc>
        <w:tc>
          <w:tcPr>
            <w:tcW w:w="1168" w:type="dxa"/>
            <w:vAlign w:val="center"/>
          </w:tcPr>
          <w:p w14:paraId="6559B401">
            <w:pPr>
              <w:spacing w:line="400" w:lineRule="exact"/>
              <w:jc w:val="center"/>
              <w:rPr>
                <w:rFonts w:ascii="宋体" w:hAnsi="宋体"/>
                <w:color w:val="000000"/>
                <w:kern w:val="0"/>
                <w:sz w:val="24"/>
              </w:rPr>
            </w:pPr>
            <w:r>
              <w:rPr>
                <w:rFonts w:hint="eastAsia" w:ascii="宋体" w:hAnsi="宋体"/>
                <w:color w:val="000000"/>
                <w:kern w:val="0"/>
                <w:sz w:val="24"/>
              </w:rPr>
              <w:t>A-2500</w:t>
            </w:r>
          </w:p>
        </w:tc>
        <w:tc>
          <w:tcPr>
            <w:tcW w:w="780" w:type="dxa"/>
            <w:vAlign w:val="center"/>
          </w:tcPr>
          <w:p w14:paraId="3D5B83E6">
            <w:pPr>
              <w:widowControl/>
              <w:jc w:val="center"/>
              <w:rPr>
                <w:rFonts w:ascii="宋体" w:hAnsi="宋体" w:cs="Tahoma"/>
                <w:kern w:val="0"/>
                <w:sz w:val="24"/>
              </w:rPr>
            </w:pPr>
            <w:r>
              <w:rPr>
                <w:rFonts w:hint="eastAsia" w:ascii="宋体" w:hAnsi="宋体" w:cs="Tahoma"/>
                <w:kern w:val="0"/>
                <w:sz w:val="24"/>
              </w:rPr>
              <w:t>根</w:t>
            </w:r>
          </w:p>
        </w:tc>
        <w:tc>
          <w:tcPr>
            <w:tcW w:w="1039" w:type="dxa"/>
            <w:vAlign w:val="center"/>
          </w:tcPr>
          <w:p w14:paraId="7ADFD9DB">
            <w:pPr>
              <w:jc w:val="center"/>
              <w:rPr>
                <w:rFonts w:ascii="宋体" w:hAnsi="宋体" w:cs="Tahoma"/>
                <w:sz w:val="24"/>
              </w:rPr>
            </w:pPr>
            <w:r>
              <w:rPr>
                <w:rFonts w:hint="eastAsia" w:ascii="宋体" w:hAnsi="宋体" w:cs="Tahoma"/>
                <w:sz w:val="24"/>
              </w:rPr>
              <w:t>105</w:t>
            </w:r>
          </w:p>
        </w:tc>
        <w:tc>
          <w:tcPr>
            <w:tcW w:w="1254" w:type="dxa"/>
            <w:vAlign w:val="center"/>
          </w:tcPr>
          <w:p w14:paraId="78B59573">
            <w:pPr>
              <w:jc w:val="center"/>
              <w:rPr>
                <w:rFonts w:ascii="宋体" w:hAnsi="宋体" w:cs="Tahoma"/>
                <w:sz w:val="24"/>
              </w:rPr>
            </w:pPr>
            <w:r>
              <w:rPr>
                <w:rFonts w:hint="eastAsia" w:ascii="宋体" w:hAnsi="宋体" w:cs="Tahoma"/>
                <w:sz w:val="24"/>
              </w:rPr>
              <w:t>105</w:t>
            </w:r>
          </w:p>
        </w:tc>
        <w:tc>
          <w:tcPr>
            <w:tcW w:w="826" w:type="dxa"/>
            <w:vAlign w:val="center"/>
          </w:tcPr>
          <w:p w14:paraId="363DD5F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w:t>
            </w:r>
          </w:p>
        </w:tc>
        <w:tc>
          <w:tcPr>
            <w:tcW w:w="1380" w:type="dxa"/>
            <w:vAlign w:val="center"/>
          </w:tcPr>
          <w:p w14:paraId="69335662">
            <w:pPr>
              <w:autoSpaceDE w:val="0"/>
              <w:autoSpaceDN w:val="0"/>
              <w:adjustRightInd w:val="0"/>
              <w:jc w:val="center"/>
              <w:rPr>
                <w:rFonts w:ascii="宋体" w:hAnsi="宋体"/>
                <w:color w:val="000000"/>
                <w:kern w:val="0"/>
                <w:sz w:val="24"/>
              </w:rPr>
            </w:pPr>
            <w:r>
              <w:rPr>
                <w:rFonts w:hint="eastAsia" w:ascii="宋体" w:hAnsi="宋体"/>
                <w:color w:val="000000"/>
                <w:kern w:val="0"/>
                <w:sz w:val="24"/>
              </w:rPr>
              <w:t>妇科</w:t>
            </w:r>
          </w:p>
        </w:tc>
      </w:tr>
      <w:bookmarkEnd w:id="5"/>
    </w:tbl>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属于挂网产品的须挂网采购,并提供产品在四川省医疗保障信息大数据一体化药品和医用耗材招采管理子系统中的产品ID、医保耗材代码、挂网价格的截图。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63BEC30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FDD529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24</w:t>
      </w:r>
      <w:r>
        <w:rPr>
          <w:rFonts w:hint="eastAsia" w:ascii="宋体" w:hAnsi="宋体"/>
          <w:kern w:val="0"/>
          <w:sz w:val="24"/>
        </w:rPr>
        <w:t>日（</w:t>
      </w:r>
      <w:r>
        <w:rPr>
          <w:rFonts w:hint="eastAsia" w:ascii="宋体" w:hAnsi="宋体"/>
          <w:kern w:val="0"/>
          <w:sz w:val="24"/>
          <w:lang w:val="en-US" w:eastAsia="zh-CN"/>
        </w:rPr>
        <w:t>5</w:t>
      </w:r>
      <w:r>
        <w:rPr>
          <w:rFonts w:hint="eastAsia" w:ascii="宋体" w:hAnsi="宋体"/>
          <w:kern w:val="0"/>
          <w:sz w:val="24"/>
        </w:rPr>
        <w:t>个工作日，每天上午8:00-12:00，下午14:30-18:00）（北京时间，法定节假日除外）。</w:t>
      </w:r>
    </w:p>
    <w:p w14:paraId="0B69046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63265A5">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0AA7C3F">
      <w:pPr>
        <w:spacing w:line="360" w:lineRule="auto"/>
        <w:rPr>
          <w:rFonts w:ascii="宋体" w:hAnsi="宋体"/>
          <w:b/>
          <w:bCs/>
          <w:sz w:val="24"/>
        </w:rPr>
      </w:pPr>
      <w:r>
        <w:rPr>
          <w:rFonts w:hint="eastAsia" w:ascii="宋体" w:hAnsi="宋体"/>
          <w:b/>
          <w:bCs/>
          <w:sz w:val="24"/>
        </w:rPr>
        <w:t>八、本项目公告将在《广安市人民医院官网》上发布。</w:t>
      </w:r>
    </w:p>
    <w:p w14:paraId="0B8F2989">
      <w:pPr>
        <w:spacing w:line="360" w:lineRule="auto"/>
        <w:rPr>
          <w:rFonts w:ascii="宋体" w:hAnsi="宋体"/>
          <w:b/>
          <w:bCs/>
          <w:sz w:val="24"/>
        </w:rPr>
      </w:pPr>
      <w:r>
        <w:rPr>
          <w:rFonts w:hint="eastAsia" w:ascii="宋体" w:hAnsi="宋体"/>
          <w:b/>
          <w:bCs/>
          <w:sz w:val="24"/>
        </w:rPr>
        <w:t>九、联系方式</w:t>
      </w:r>
      <w:bookmarkStart w:id="70" w:name="_GoBack"/>
      <w:bookmarkEnd w:id="70"/>
    </w:p>
    <w:p w14:paraId="17C0287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6E9F7E4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D62189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FAC9A1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w:t>
      </w:r>
    </w:p>
    <w:p w14:paraId="482E2C8D">
      <w:pPr>
        <w:tabs>
          <w:tab w:val="left" w:pos="1500"/>
          <w:tab w:val="left" w:pos="5160"/>
        </w:tabs>
        <w:autoSpaceDE w:val="0"/>
        <w:autoSpaceDN w:val="0"/>
        <w:adjustRightInd w:val="0"/>
        <w:spacing w:before="6" w:line="360" w:lineRule="auto"/>
        <w:ind w:right="-20"/>
        <w:jc w:val="left"/>
      </w:pPr>
    </w:p>
    <w:p w14:paraId="5D75E40B">
      <w:pPr>
        <w:pStyle w:val="39"/>
      </w:pPr>
      <w:r>
        <w:rPr>
          <w:rFonts w:ascii="宋体" w:hAnsi="宋体"/>
        </w:rPr>
        <w:br w:type="page"/>
      </w:r>
      <w:bookmarkStart w:id="6" w:name="_Toc20807"/>
      <w:r>
        <w:rPr>
          <w:rFonts w:hint="eastAsia"/>
        </w:rPr>
        <w:t>第二章  采购须知</w:t>
      </w:r>
      <w:bookmarkEnd w:id="0"/>
      <w:bookmarkEnd w:id="6"/>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ascii="宋体"/>
                <w:szCs w:val="21"/>
              </w:rPr>
            </w:pPr>
            <w:r>
              <w:rPr>
                <w:rFonts w:hint="eastAsia" w:ascii="宋体"/>
                <w:szCs w:val="21"/>
              </w:rPr>
              <w:t>广安市人民医院/四川大学华西医院广安医院妇科负压吸引器及配套耗材</w:t>
            </w:r>
            <w:r>
              <w:rPr>
                <w:rFonts w:hint="eastAsia" w:ascii="宋体"/>
                <w:szCs w:val="21"/>
                <w:lang w:eastAsia="zh-CN"/>
              </w:rPr>
              <w:t>（二次）</w:t>
            </w:r>
            <w:r>
              <w:rPr>
                <w:rFonts w:hint="eastAsia" w:ascii="宋体"/>
                <w:szCs w:val="21"/>
              </w:rPr>
              <w:t>采购项目</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b/>
                <w:bCs/>
                <w:szCs w:val="21"/>
              </w:rPr>
              <w:t>采购申请文件的正本和副本应密封包装。封面注明正本或副本字样,包装袋注明联系方式</w:t>
            </w:r>
            <w:r>
              <w:rPr>
                <w:rFonts w:hint="eastAsia" w:ascii="宋体"/>
                <w:b/>
                <w:bCs/>
                <w:szCs w:val="21"/>
                <w:lang w:bidi="ar"/>
              </w:rPr>
              <w:t>。</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7" w:name="_Toc365040661"/>
            <w:r>
              <w:rPr>
                <w:rFonts w:hint="eastAsia" w:ascii="宋体"/>
                <w:szCs w:val="21"/>
              </w:rPr>
              <w:t>否</w:t>
            </w:r>
            <w:bookmarkEnd w:id="7"/>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17"/>
              <w:rPr>
                <w:rFonts w:hAnsi="Calibri"/>
                <w:sz w:val="21"/>
                <w:szCs w:val="21"/>
              </w:rPr>
            </w:pPr>
            <w:r>
              <w:rPr>
                <w:rFonts w:hint="eastAsia" w:hAnsi="Calibri"/>
                <w:sz w:val="21"/>
                <w:szCs w:val="21"/>
              </w:rPr>
              <w:t>①异议书必须具有明确的请求和必要的证明材料。</w:t>
            </w:r>
          </w:p>
          <w:p w14:paraId="32DCBCDA">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5"/>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6"/>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6"/>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6F7BB45C">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7C313C5">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6"/>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6"/>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6"/>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5"/>
        <w:rPr>
          <w:rFonts w:ascii="宋体" w:hAnsi="宋体" w:eastAsia="宋体"/>
          <w:b/>
          <w:sz w:val="24"/>
          <w:szCs w:val="24"/>
        </w:rPr>
      </w:pPr>
      <w:r>
        <w:rPr>
          <w:rFonts w:hint="eastAsia" w:ascii="宋体" w:hAnsi="宋体" w:eastAsia="宋体"/>
          <w:b/>
          <w:sz w:val="24"/>
          <w:szCs w:val="24"/>
        </w:rPr>
        <w:t>（三）采购文件</w:t>
      </w:r>
    </w:p>
    <w:p w14:paraId="04E22867">
      <w:pPr>
        <w:pStyle w:val="6"/>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6"/>
        <w:numPr>
          <w:ilvl w:val="0"/>
          <w:numId w:val="6"/>
        </w:numPr>
        <w:tabs>
          <w:tab w:val="left" w:pos="1000"/>
        </w:tabs>
        <w:ind w:firstLine="0"/>
        <w:rPr>
          <w:bCs/>
          <w:szCs w:val="24"/>
        </w:rPr>
      </w:pPr>
      <w:bookmarkStart w:id="8" w:name="_Toc183582211"/>
      <w:bookmarkStart w:id="9" w:name="_Toc183682348"/>
      <w:bookmarkStart w:id="10" w:name="_Toc217446040"/>
      <w:r>
        <w:rPr>
          <w:rFonts w:hint="eastAsia"/>
          <w:bCs/>
          <w:szCs w:val="24"/>
        </w:rPr>
        <w:t>采购文件的澄清</w:t>
      </w:r>
      <w:bookmarkEnd w:id="8"/>
      <w:bookmarkEnd w:id="9"/>
      <w:r>
        <w:rPr>
          <w:rFonts w:hint="eastAsia"/>
          <w:bCs/>
          <w:szCs w:val="24"/>
        </w:rPr>
        <w:t>和修改</w:t>
      </w:r>
      <w:bookmarkEnd w:id="10"/>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5"/>
        <w:rPr>
          <w:rFonts w:ascii="宋体" w:hAnsi="宋体" w:eastAsia="宋体"/>
          <w:b/>
          <w:sz w:val="24"/>
          <w:szCs w:val="24"/>
        </w:rPr>
      </w:pPr>
      <w:r>
        <w:rPr>
          <w:rFonts w:hint="eastAsia" w:ascii="宋体" w:hAnsi="宋体" w:eastAsia="宋体"/>
          <w:b/>
          <w:sz w:val="24"/>
          <w:szCs w:val="24"/>
        </w:rPr>
        <w:t>（四）采购申请文件的编制</w:t>
      </w:r>
    </w:p>
    <w:p w14:paraId="61A0FF8A">
      <w:pPr>
        <w:pStyle w:val="6"/>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17"/>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6"/>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6"/>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6"/>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6"/>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6"/>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5"/>
        <w:rPr>
          <w:rFonts w:ascii="宋体" w:hAnsi="宋体" w:eastAsia="宋体"/>
          <w:b/>
          <w:sz w:val="24"/>
          <w:szCs w:val="24"/>
        </w:rPr>
      </w:pPr>
      <w:r>
        <w:rPr>
          <w:rFonts w:hint="eastAsia" w:ascii="宋体" w:hAnsi="宋体" w:eastAsia="宋体"/>
          <w:b/>
          <w:sz w:val="24"/>
          <w:szCs w:val="24"/>
        </w:rPr>
        <w:t>（五）采购申请文件的递交</w:t>
      </w:r>
    </w:p>
    <w:p w14:paraId="4B4A67A5">
      <w:pPr>
        <w:pStyle w:val="6"/>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6"/>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5"/>
        <w:rPr>
          <w:rFonts w:ascii="宋体" w:hAnsi="宋体" w:eastAsia="宋体"/>
          <w:b/>
          <w:sz w:val="24"/>
          <w:szCs w:val="24"/>
        </w:rPr>
      </w:pPr>
      <w:r>
        <w:rPr>
          <w:rFonts w:hint="eastAsia" w:ascii="宋体" w:hAnsi="宋体" w:eastAsia="宋体"/>
          <w:b/>
          <w:sz w:val="24"/>
          <w:szCs w:val="24"/>
        </w:rPr>
        <w:t>（六）采购会</w:t>
      </w:r>
    </w:p>
    <w:p w14:paraId="4343EF32">
      <w:pPr>
        <w:pStyle w:val="6"/>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5"/>
        <w:rPr>
          <w:rFonts w:ascii="宋体" w:hAnsi="宋体" w:eastAsia="宋体"/>
          <w:b/>
          <w:sz w:val="24"/>
          <w:szCs w:val="24"/>
        </w:rPr>
      </w:pPr>
      <w:r>
        <w:rPr>
          <w:rFonts w:hint="eastAsia" w:ascii="宋体" w:hAnsi="宋体" w:eastAsia="宋体"/>
          <w:b/>
          <w:sz w:val="24"/>
          <w:szCs w:val="24"/>
        </w:rPr>
        <w:t>（七）评审</w:t>
      </w:r>
    </w:p>
    <w:p w14:paraId="786B75C5">
      <w:pPr>
        <w:pStyle w:val="6"/>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6B084ED3">
      <w:pPr>
        <w:pStyle w:val="5"/>
        <w:rPr>
          <w:rFonts w:ascii="宋体" w:hAnsi="宋体"/>
          <w:sz w:val="24"/>
        </w:rPr>
      </w:pPr>
      <w:r>
        <w:rPr>
          <w:rFonts w:hint="eastAsia" w:ascii="宋体" w:hAnsi="宋体" w:eastAsia="宋体"/>
          <w:b/>
          <w:sz w:val="24"/>
          <w:szCs w:val="24"/>
        </w:rPr>
        <w:t>（八）合同</w:t>
      </w:r>
      <w:bookmarkStart w:id="11" w:name="_Toc217446065"/>
      <w:bookmarkStart w:id="12" w:name="_Toc308164811"/>
    </w:p>
    <w:p w14:paraId="38C4D84F">
      <w:pPr>
        <w:pStyle w:val="6"/>
        <w:tabs>
          <w:tab w:val="left" w:pos="1000"/>
        </w:tabs>
        <w:ind w:firstLine="0"/>
        <w:rPr>
          <w:bCs/>
          <w:szCs w:val="24"/>
        </w:rPr>
      </w:pPr>
      <w:r>
        <w:rPr>
          <w:rFonts w:hint="eastAsia"/>
          <w:bCs/>
          <w:szCs w:val="24"/>
        </w:rPr>
        <w:t>19. 签订合同</w:t>
      </w:r>
      <w:bookmarkEnd w:id="11"/>
      <w:bookmarkEnd w:id="12"/>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6"/>
        <w:tabs>
          <w:tab w:val="left" w:pos="1000"/>
        </w:tabs>
        <w:ind w:firstLine="0"/>
        <w:rPr>
          <w:bCs/>
          <w:szCs w:val="24"/>
        </w:rPr>
      </w:pPr>
      <w:bookmarkStart w:id="13" w:name="_Toc217446068"/>
      <w:bookmarkStart w:id="14" w:name="_Toc308164812"/>
      <w:r>
        <w:rPr>
          <w:rFonts w:hint="eastAsia"/>
          <w:bCs/>
          <w:szCs w:val="24"/>
        </w:rPr>
        <w:t>20. 履约保证金</w:t>
      </w:r>
      <w:bookmarkEnd w:id="13"/>
      <w:bookmarkEnd w:id="14"/>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6"/>
        <w:tabs>
          <w:tab w:val="left" w:pos="1000"/>
        </w:tabs>
        <w:ind w:firstLine="0"/>
        <w:rPr>
          <w:bCs/>
          <w:szCs w:val="24"/>
        </w:rPr>
      </w:pPr>
      <w:r>
        <w:rPr>
          <w:rFonts w:hint="eastAsia"/>
          <w:bCs/>
          <w:szCs w:val="24"/>
        </w:rPr>
        <w:t>21.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6"/>
        <w:tabs>
          <w:tab w:val="left" w:pos="1000"/>
        </w:tabs>
        <w:ind w:firstLine="0"/>
        <w:rPr>
          <w:bCs/>
          <w:szCs w:val="24"/>
        </w:rPr>
      </w:pPr>
      <w:bookmarkStart w:id="15" w:name="_Toc308164814"/>
      <w:bookmarkStart w:id="16" w:name="_Toc217446070"/>
      <w:r>
        <w:rPr>
          <w:rFonts w:hint="eastAsia"/>
          <w:bCs/>
          <w:szCs w:val="24"/>
        </w:rPr>
        <w:t>22. 验收</w:t>
      </w:r>
      <w:bookmarkEnd w:id="15"/>
      <w:bookmarkEnd w:id="16"/>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7" w:name="_Toc150831011"/>
      <w:bookmarkStart w:id="18" w:name="_Toc17939"/>
      <w:bookmarkStart w:id="19" w:name="_Toc146532506"/>
      <w:r>
        <w:rPr>
          <w:rFonts w:hint="eastAsia"/>
        </w:rPr>
        <w:t>第三章  采购申请文件格式</w:t>
      </w:r>
      <w:bookmarkEnd w:id="17"/>
      <w:bookmarkEnd w:id="18"/>
      <w:bookmarkEnd w:id="19"/>
    </w:p>
    <w:p w14:paraId="4FE9EF72">
      <w:pPr>
        <w:tabs>
          <w:tab w:val="left" w:pos="432"/>
        </w:tabs>
        <w:jc w:val="center"/>
        <w:outlineLvl w:val="0"/>
        <w:rPr>
          <w:rFonts w:ascii="华文中宋" w:hAnsi="华文中宋" w:eastAsia="华文中宋"/>
          <w:b/>
          <w:sz w:val="36"/>
          <w:szCs w:val="36"/>
        </w:rPr>
      </w:pPr>
    </w:p>
    <w:p w14:paraId="5C93BA4F">
      <w:pPr>
        <w:pStyle w:val="12"/>
        <w:rPr>
          <w:rFonts w:ascii="宋体" w:hAnsi="宋体"/>
          <w:b/>
          <w:sz w:val="28"/>
          <w:szCs w:val="28"/>
        </w:rPr>
      </w:pPr>
      <w:r>
        <w:rPr>
          <w:rFonts w:hint="eastAsia" w:ascii="宋体" w:hAnsi="宋体"/>
          <w:b/>
          <w:sz w:val="28"/>
          <w:szCs w:val="28"/>
        </w:rPr>
        <w:t>封面</w:t>
      </w:r>
    </w:p>
    <w:p w14:paraId="2A5F56FF">
      <w:pPr>
        <w:pStyle w:val="12"/>
        <w:rPr>
          <w:rFonts w:ascii="宋体" w:hAnsi="宋体"/>
          <w:b/>
          <w:sz w:val="24"/>
          <w:szCs w:val="24"/>
        </w:rPr>
      </w:pPr>
    </w:p>
    <w:p w14:paraId="26993680">
      <w:pPr>
        <w:pStyle w:val="12"/>
        <w:rPr>
          <w:rFonts w:ascii="宋体" w:hAnsi="宋体"/>
          <w:b/>
          <w:sz w:val="24"/>
          <w:szCs w:val="24"/>
        </w:rPr>
      </w:pPr>
    </w:p>
    <w:p w14:paraId="5ECC9960">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（项目名称＋包号）</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0E4841F3">
      <w:pPr>
        <w:spacing w:line="360" w:lineRule="auto"/>
        <w:jc w:val="center"/>
        <w:rPr>
          <w:rFonts w:ascii="黑体" w:hAnsi="黑体" w:eastAsia="黑体"/>
          <w:b/>
          <w:bCs/>
          <w:sz w:val="28"/>
          <w:szCs w:val="28"/>
        </w:rPr>
      </w:pPr>
      <w:bookmarkStart w:id="21" w:name="_Toc453578485"/>
      <w:bookmarkStart w:id="22" w:name="_Toc476736016"/>
      <w:bookmarkStart w:id="23" w:name="_Toc325028467"/>
      <w:r>
        <w:rPr>
          <w:rFonts w:hint="eastAsia" w:ascii="黑体" w:hAnsi="黑体" w:eastAsia="黑体"/>
          <w:b/>
          <w:bCs/>
          <w:sz w:val="28"/>
          <w:szCs w:val="28"/>
        </w:rPr>
        <w:t>格式一、采购申请函</w:t>
      </w:r>
      <w:bookmarkEnd w:id="21"/>
      <w:bookmarkEnd w:id="22"/>
      <w:bookmarkEnd w:id="23"/>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321598257"/>
      <w:bookmarkStart w:id="28" w:name="_Toc300303160"/>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50041691"/>
      <w:bookmarkEnd w:id="30"/>
      <w:bookmarkStart w:id="31" w:name="_Toc263768864"/>
      <w:bookmarkEnd w:id="31"/>
      <w:bookmarkStart w:id="32" w:name="_Toc263753600"/>
      <w:bookmarkEnd w:id="32"/>
      <w:bookmarkStart w:id="33" w:name="_Toc297204985"/>
      <w:bookmarkEnd w:id="33"/>
      <w:bookmarkStart w:id="34" w:name="_Toc256175382"/>
      <w:bookmarkEnd w:id="34"/>
      <w:bookmarkStart w:id="35" w:name="_Toc237145385"/>
      <w:bookmarkEnd w:id="35"/>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6"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4A4D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24" w:type="dxa"/>
          </w:tcPr>
          <w:p w14:paraId="7E181352">
            <w:pPr>
              <w:rPr>
                <w:rFonts w:ascii="宋体" w:hAnsi="宋体" w:cs="宋体"/>
                <w:color w:val="000000" w:themeColor="text1"/>
                <w:sz w:val="24"/>
                <w14:textFill>
                  <w14:solidFill>
                    <w14:schemeClr w14:val="tx1"/>
                  </w14:solidFill>
                </w14:textFill>
              </w:rPr>
            </w:pPr>
          </w:p>
        </w:tc>
        <w:tc>
          <w:tcPr>
            <w:tcW w:w="1167" w:type="dxa"/>
            <w:vAlign w:val="center"/>
          </w:tcPr>
          <w:p w14:paraId="7CAA2F6A">
            <w:pPr>
              <w:rPr>
                <w:rFonts w:ascii="宋体" w:hAnsi="宋体" w:cs="宋体"/>
                <w:color w:val="000000" w:themeColor="text1"/>
                <w:sz w:val="24"/>
                <w14:textFill>
                  <w14:solidFill>
                    <w14:schemeClr w14:val="tx1"/>
                  </w14:solidFill>
                </w14:textFill>
              </w:rPr>
            </w:pPr>
          </w:p>
        </w:tc>
        <w:tc>
          <w:tcPr>
            <w:tcW w:w="1417" w:type="dxa"/>
            <w:vAlign w:val="center"/>
          </w:tcPr>
          <w:p w14:paraId="27E9F4D0">
            <w:pPr>
              <w:rPr>
                <w:rFonts w:ascii="宋体" w:hAnsi="宋体" w:cs="宋体"/>
                <w:color w:val="000000" w:themeColor="text1"/>
                <w:sz w:val="24"/>
                <w14:textFill>
                  <w14:solidFill>
                    <w14:schemeClr w14:val="tx1"/>
                  </w14:solidFill>
                </w14:textFill>
              </w:rPr>
            </w:pPr>
          </w:p>
        </w:tc>
        <w:tc>
          <w:tcPr>
            <w:tcW w:w="851" w:type="dxa"/>
            <w:vAlign w:val="center"/>
          </w:tcPr>
          <w:p w14:paraId="55619A6A">
            <w:pPr>
              <w:rPr>
                <w:rFonts w:ascii="宋体" w:hAnsi="宋体" w:cs="宋体"/>
                <w:color w:val="000000" w:themeColor="text1"/>
                <w:sz w:val="24"/>
                <w14:textFill>
                  <w14:solidFill>
                    <w14:schemeClr w14:val="tx1"/>
                  </w14:solidFill>
                </w14:textFill>
              </w:rPr>
            </w:pPr>
          </w:p>
        </w:tc>
        <w:tc>
          <w:tcPr>
            <w:tcW w:w="1276" w:type="dxa"/>
            <w:vAlign w:val="center"/>
          </w:tcPr>
          <w:p w14:paraId="1C6DBFF5">
            <w:pPr>
              <w:rPr>
                <w:rFonts w:ascii="宋体" w:hAnsi="宋体" w:cs="宋体"/>
                <w:color w:val="000000" w:themeColor="text1"/>
                <w:sz w:val="24"/>
                <w14:textFill>
                  <w14:solidFill>
                    <w14:schemeClr w14:val="tx1"/>
                  </w14:solidFill>
                </w14:textFill>
              </w:rPr>
            </w:pPr>
          </w:p>
        </w:tc>
        <w:tc>
          <w:tcPr>
            <w:tcW w:w="1275" w:type="dxa"/>
            <w:vAlign w:val="center"/>
          </w:tcPr>
          <w:p w14:paraId="3969DF9D">
            <w:pPr>
              <w:rPr>
                <w:rFonts w:ascii="宋体" w:hAnsi="宋体" w:cs="宋体"/>
                <w:color w:val="000000" w:themeColor="text1"/>
                <w:sz w:val="24"/>
                <w14:textFill>
                  <w14:solidFill>
                    <w14:schemeClr w14:val="tx1"/>
                  </w14:solidFill>
                </w14:textFill>
              </w:rPr>
            </w:pPr>
          </w:p>
        </w:tc>
        <w:tc>
          <w:tcPr>
            <w:tcW w:w="993" w:type="dxa"/>
            <w:vAlign w:val="center"/>
          </w:tcPr>
          <w:p w14:paraId="2DB45A0F">
            <w:pPr>
              <w:rPr>
                <w:rFonts w:ascii="宋体" w:hAnsi="宋体" w:cs="宋体"/>
                <w:color w:val="000000" w:themeColor="text1"/>
                <w:sz w:val="24"/>
                <w14:textFill>
                  <w14:solidFill>
                    <w14:schemeClr w14:val="tx1"/>
                  </w14:solidFill>
                </w14:textFill>
              </w:rPr>
            </w:pPr>
          </w:p>
        </w:tc>
        <w:tc>
          <w:tcPr>
            <w:tcW w:w="1275" w:type="dxa"/>
            <w:vAlign w:val="center"/>
          </w:tcPr>
          <w:p w14:paraId="7AEFCAFC">
            <w:pPr>
              <w:rPr>
                <w:rFonts w:ascii="宋体" w:hAnsi="宋体" w:cs="宋体"/>
                <w:color w:val="000000" w:themeColor="text1"/>
                <w:sz w:val="24"/>
                <w14:textFill>
                  <w14:solidFill>
                    <w14:schemeClr w14:val="tx1"/>
                  </w14:solidFill>
                </w14:textFill>
              </w:rPr>
            </w:pPr>
          </w:p>
        </w:tc>
        <w:tc>
          <w:tcPr>
            <w:tcW w:w="851" w:type="dxa"/>
            <w:vAlign w:val="center"/>
          </w:tcPr>
          <w:p w14:paraId="5C4B2812">
            <w:pPr>
              <w:rPr>
                <w:rFonts w:ascii="宋体" w:hAnsi="宋体" w:cs="宋体"/>
                <w:color w:val="000000" w:themeColor="text1"/>
                <w:sz w:val="24"/>
                <w14:textFill>
                  <w14:solidFill>
                    <w14:schemeClr w14:val="tx1"/>
                  </w14:solidFill>
                </w14:textFill>
              </w:rPr>
            </w:pPr>
          </w:p>
        </w:tc>
      </w:tr>
      <w:tr w14:paraId="048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4" w:type="dxa"/>
            <w:tcBorders>
              <w:right w:val="single" w:color="auto" w:sz="4" w:space="0"/>
            </w:tcBorders>
          </w:tcPr>
          <w:p w14:paraId="0C8082FB">
            <w:pPr>
              <w:rPr>
                <w:rFonts w:ascii="宋体" w:hAnsi="宋体" w:cs="宋体"/>
                <w:color w:val="000000" w:themeColor="text1"/>
                <w:sz w:val="24"/>
                <w14:textFill>
                  <w14:solidFill>
                    <w14:schemeClr w14:val="tx1"/>
                  </w14:solidFill>
                </w14:textFill>
              </w:rPr>
            </w:pPr>
          </w:p>
        </w:tc>
        <w:tc>
          <w:tcPr>
            <w:tcW w:w="1167" w:type="dxa"/>
            <w:tcBorders>
              <w:left w:val="single" w:color="auto" w:sz="4" w:space="0"/>
            </w:tcBorders>
            <w:vAlign w:val="center"/>
          </w:tcPr>
          <w:p w14:paraId="392D826B">
            <w:pPr>
              <w:rPr>
                <w:rFonts w:ascii="宋体" w:hAnsi="宋体" w:cs="宋体"/>
                <w:color w:val="000000" w:themeColor="text1"/>
                <w:sz w:val="24"/>
                <w14:textFill>
                  <w14:solidFill>
                    <w14:schemeClr w14:val="tx1"/>
                  </w14:solidFill>
                </w14:textFill>
              </w:rPr>
            </w:pPr>
          </w:p>
        </w:tc>
        <w:tc>
          <w:tcPr>
            <w:tcW w:w="1417" w:type="dxa"/>
            <w:vAlign w:val="center"/>
          </w:tcPr>
          <w:p w14:paraId="21F1154B">
            <w:pPr>
              <w:rPr>
                <w:rFonts w:ascii="宋体" w:hAnsi="宋体" w:cs="宋体"/>
                <w:color w:val="000000" w:themeColor="text1"/>
                <w:sz w:val="24"/>
                <w14:textFill>
                  <w14:solidFill>
                    <w14:schemeClr w14:val="tx1"/>
                  </w14:solidFill>
                </w14:textFill>
              </w:rPr>
            </w:pPr>
          </w:p>
        </w:tc>
        <w:tc>
          <w:tcPr>
            <w:tcW w:w="851" w:type="dxa"/>
            <w:vAlign w:val="center"/>
          </w:tcPr>
          <w:p w14:paraId="38CAB098">
            <w:pPr>
              <w:rPr>
                <w:rFonts w:ascii="宋体" w:hAnsi="宋体" w:cs="宋体"/>
                <w:color w:val="000000" w:themeColor="text1"/>
                <w:sz w:val="24"/>
                <w14:textFill>
                  <w14:solidFill>
                    <w14:schemeClr w14:val="tx1"/>
                  </w14:solidFill>
                </w14:textFill>
              </w:rPr>
            </w:pPr>
          </w:p>
        </w:tc>
        <w:tc>
          <w:tcPr>
            <w:tcW w:w="1276" w:type="dxa"/>
            <w:vAlign w:val="center"/>
          </w:tcPr>
          <w:p w14:paraId="52E58299">
            <w:pPr>
              <w:rPr>
                <w:rFonts w:ascii="宋体" w:hAnsi="宋体" w:cs="宋体"/>
                <w:color w:val="000000" w:themeColor="text1"/>
                <w:sz w:val="24"/>
                <w14:textFill>
                  <w14:solidFill>
                    <w14:schemeClr w14:val="tx1"/>
                  </w14:solidFill>
                </w14:textFill>
              </w:rPr>
            </w:pPr>
          </w:p>
        </w:tc>
        <w:tc>
          <w:tcPr>
            <w:tcW w:w="1275" w:type="dxa"/>
            <w:vAlign w:val="center"/>
          </w:tcPr>
          <w:p w14:paraId="49CFF715">
            <w:pPr>
              <w:rPr>
                <w:rFonts w:ascii="宋体" w:hAnsi="宋体" w:cs="宋体"/>
                <w:color w:val="000000" w:themeColor="text1"/>
                <w:sz w:val="24"/>
                <w14:textFill>
                  <w14:solidFill>
                    <w14:schemeClr w14:val="tx1"/>
                  </w14:solidFill>
                </w14:textFill>
              </w:rPr>
            </w:pPr>
          </w:p>
        </w:tc>
        <w:tc>
          <w:tcPr>
            <w:tcW w:w="993" w:type="dxa"/>
            <w:vAlign w:val="center"/>
          </w:tcPr>
          <w:p w14:paraId="4A46AFC1">
            <w:pPr>
              <w:rPr>
                <w:rFonts w:ascii="宋体" w:hAnsi="宋体" w:cs="宋体"/>
                <w:color w:val="000000" w:themeColor="text1"/>
                <w:sz w:val="24"/>
                <w14:textFill>
                  <w14:solidFill>
                    <w14:schemeClr w14:val="tx1"/>
                  </w14:solidFill>
                </w14:textFill>
              </w:rPr>
            </w:pPr>
          </w:p>
        </w:tc>
        <w:tc>
          <w:tcPr>
            <w:tcW w:w="1275" w:type="dxa"/>
            <w:vAlign w:val="center"/>
          </w:tcPr>
          <w:p w14:paraId="14D151C3">
            <w:pPr>
              <w:rPr>
                <w:rFonts w:ascii="宋体" w:hAnsi="宋体" w:cs="宋体"/>
                <w:color w:val="000000" w:themeColor="text1"/>
                <w:sz w:val="24"/>
                <w14:textFill>
                  <w14:solidFill>
                    <w14:schemeClr w14:val="tx1"/>
                  </w14:solidFill>
                </w14:textFill>
              </w:rPr>
            </w:pPr>
          </w:p>
        </w:tc>
        <w:tc>
          <w:tcPr>
            <w:tcW w:w="851" w:type="dxa"/>
            <w:vAlign w:val="center"/>
          </w:tcPr>
          <w:p w14:paraId="3D3A66BA">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426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1" w:type="dxa"/>
            <w:tcBorders>
              <w:right w:val="single" w:color="auto" w:sz="4" w:space="0"/>
            </w:tcBorders>
          </w:tcPr>
          <w:p w14:paraId="35E4C5EB">
            <w:pPr>
              <w:autoSpaceDE w:val="0"/>
              <w:autoSpaceDN w:val="0"/>
              <w:adjustRightInd w:val="0"/>
              <w:spacing w:line="360" w:lineRule="auto"/>
              <w:jc w:val="center"/>
              <w:rPr>
                <w:rFonts w:ascii="宋体" w:hAnsi="宋体"/>
                <w:sz w:val="24"/>
              </w:rPr>
            </w:pPr>
          </w:p>
        </w:tc>
        <w:tc>
          <w:tcPr>
            <w:tcW w:w="1634" w:type="dxa"/>
            <w:tcBorders>
              <w:left w:val="single" w:color="auto" w:sz="4" w:space="0"/>
            </w:tcBorders>
            <w:vAlign w:val="center"/>
          </w:tcPr>
          <w:p w14:paraId="248986DD">
            <w:pPr>
              <w:autoSpaceDE w:val="0"/>
              <w:autoSpaceDN w:val="0"/>
              <w:adjustRightInd w:val="0"/>
              <w:spacing w:line="360" w:lineRule="auto"/>
              <w:jc w:val="center"/>
              <w:rPr>
                <w:rFonts w:ascii="宋体" w:hAnsi="宋体"/>
                <w:sz w:val="24"/>
              </w:rPr>
            </w:pPr>
          </w:p>
        </w:tc>
        <w:tc>
          <w:tcPr>
            <w:tcW w:w="1276" w:type="dxa"/>
            <w:vAlign w:val="center"/>
          </w:tcPr>
          <w:p w14:paraId="4B07927E">
            <w:pPr>
              <w:autoSpaceDE w:val="0"/>
              <w:autoSpaceDN w:val="0"/>
              <w:adjustRightInd w:val="0"/>
              <w:spacing w:line="360" w:lineRule="auto"/>
              <w:jc w:val="center"/>
              <w:rPr>
                <w:rFonts w:ascii="宋体" w:hAnsi="宋体"/>
                <w:sz w:val="24"/>
              </w:rPr>
            </w:pPr>
          </w:p>
        </w:tc>
        <w:tc>
          <w:tcPr>
            <w:tcW w:w="992" w:type="dxa"/>
            <w:vAlign w:val="center"/>
          </w:tcPr>
          <w:p w14:paraId="7C8BCD2D">
            <w:pPr>
              <w:autoSpaceDE w:val="0"/>
              <w:autoSpaceDN w:val="0"/>
              <w:adjustRightInd w:val="0"/>
              <w:spacing w:line="360" w:lineRule="auto"/>
              <w:jc w:val="center"/>
              <w:rPr>
                <w:rFonts w:ascii="宋体" w:hAnsi="宋体"/>
                <w:sz w:val="24"/>
              </w:rPr>
            </w:pPr>
          </w:p>
        </w:tc>
        <w:tc>
          <w:tcPr>
            <w:tcW w:w="1418" w:type="dxa"/>
            <w:vAlign w:val="center"/>
          </w:tcPr>
          <w:p w14:paraId="1A4B3CA6">
            <w:pPr>
              <w:autoSpaceDE w:val="0"/>
              <w:autoSpaceDN w:val="0"/>
              <w:adjustRightInd w:val="0"/>
              <w:spacing w:line="360" w:lineRule="auto"/>
              <w:jc w:val="center"/>
              <w:rPr>
                <w:rFonts w:ascii="宋体" w:hAnsi="宋体"/>
                <w:sz w:val="24"/>
              </w:rPr>
            </w:pPr>
          </w:p>
        </w:tc>
        <w:tc>
          <w:tcPr>
            <w:tcW w:w="992" w:type="dxa"/>
            <w:vAlign w:val="center"/>
          </w:tcPr>
          <w:p w14:paraId="5362652D">
            <w:pPr>
              <w:autoSpaceDE w:val="0"/>
              <w:autoSpaceDN w:val="0"/>
              <w:adjustRightInd w:val="0"/>
              <w:spacing w:line="360" w:lineRule="auto"/>
              <w:jc w:val="center"/>
              <w:rPr>
                <w:rFonts w:ascii="宋体" w:hAnsi="宋体"/>
                <w:sz w:val="24"/>
              </w:rPr>
            </w:pPr>
          </w:p>
        </w:tc>
        <w:tc>
          <w:tcPr>
            <w:tcW w:w="992" w:type="dxa"/>
            <w:vAlign w:val="center"/>
          </w:tcPr>
          <w:p w14:paraId="00D04405">
            <w:pPr>
              <w:autoSpaceDE w:val="0"/>
              <w:autoSpaceDN w:val="0"/>
              <w:adjustRightInd w:val="0"/>
              <w:spacing w:line="360" w:lineRule="auto"/>
              <w:jc w:val="center"/>
              <w:rPr>
                <w:rFonts w:ascii="宋体" w:hAnsi="宋体"/>
                <w:sz w:val="24"/>
              </w:rPr>
            </w:pPr>
          </w:p>
        </w:tc>
        <w:tc>
          <w:tcPr>
            <w:tcW w:w="992" w:type="dxa"/>
            <w:vAlign w:val="center"/>
          </w:tcPr>
          <w:p w14:paraId="50CE3108">
            <w:pPr>
              <w:autoSpaceDE w:val="0"/>
              <w:autoSpaceDN w:val="0"/>
              <w:adjustRightInd w:val="0"/>
              <w:spacing w:line="360" w:lineRule="auto"/>
              <w:jc w:val="center"/>
              <w:rPr>
                <w:rFonts w:ascii="宋体" w:hAnsi="宋体"/>
                <w:sz w:val="24"/>
              </w:rPr>
            </w:pPr>
          </w:p>
        </w:tc>
        <w:tc>
          <w:tcPr>
            <w:tcW w:w="851" w:type="dxa"/>
            <w:vAlign w:val="center"/>
          </w:tcPr>
          <w:p w14:paraId="113BE91C">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0CB95C8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2.设备及</w:t>
      </w:r>
      <w:r>
        <w:rPr>
          <w:rFonts w:ascii="宋体" w:hAnsi="宋体" w:cs="宋体"/>
          <w:color w:val="000000" w:themeColor="text1"/>
          <w:sz w:val="24"/>
          <w14:textFill>
            <w14:solidFill>
              <w14:schemeClr w14:val="tx1"/>
            </w14:solidFill>
          </w14:textFill>
        </w:rPr>
        <w:t>所涉及的配套耗材不允许报价</w:t>
      </w:r>
      <w:r>
        <w:rPr>
          <w:rFonts w:hint="eastAsia" w:ascii="宋体" w:hAnsi="宋体" w:cs="宋体"/>
          <w:color w:val="000000" w:themeColor="text1"/>
          <w:sz w:val="24"/>
          <w14:textFill>
            <w14:solidFill>
              <w14:schemeClr w14:val="tx1"/>
            </w14:solidFill>
          </w14:textFill>
        </w:rPr>
        <w:t>0元,否则</w:t>
      </w:r>
      <w:r>
        <w:rPr>
          <w:rFonts w:ascii="宋体" w:hAnsi="宋体" w:cs="宋体"/>
          <w:color w:val="000000" w:themeColor="text1"/>
          <w:sz w:val="24"/>
          <w14:textFill>
            <w14:solidFill>
              <w14:schemeClr w14:val="tx1"/>
            </w14:solidFill>
          </w14:textFill>
        </w:rPr>
        <w:t>视为无效投标</w:t>
      </w:r>
      <w:r>
        <w:rPr>
          <w:rFonts w:hint="eastAsia" w:ascii="宋体" w:hAnsi="宋体" w:cs="宋体"/>
          <w:color w:val="000000" w:themeColor="text1"/>
          <w:sz w:val="24"/>
          <w14:textFill>
            <w14:solidFill>
              <w14:schemeClr w14:val="tx1"/>
            </w14:solidFill>
          </w14:textFill>
        </w:rPr>
        <w:t>。</w:t>
      </w:r>
    </w:p>
    <w:p w14:paraId="576EC241">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3.价格</w:t>
      </w:r>
      <w:r>
        <w:rPr>
          <w:rFonts w:ascii="宋体" w:hAnsi="宋体" w:cs="宋体"/>
          <w:color w:val="000000" w:themeColor="text1"/>
          <w:sz w:val="24"/>
          <w14:textFill>
            <w14:solidFill>
              <w14:schemeClr w14:val="tx1"/>
            </w14:solidFill>
          </w14:textFill>
        </w:rPr>
        <w:t>权重详见第四章</w:t>
      </w:r>
      <w:r>
        <w:rPr>
          <w:rFonts w:hint="eastAsia" w:ascii="宋体" w:hAnsi="宋体" w:cs="宋体"/>
          <w:color w:val="000000" w:themeColor="text1"/>
          <w:sz w:val="24"/>
          <w14:textFill>
            <w14:solidFill>
              <w14:schemeClr w14:val="tx1"/>
            </w14:solidFill>
          </w14:textFill>
        </w:rPr>
        <w:t>《一</w:t>
      </w:r>
      <w:r>
        <w:rPr>
          <w:rFonts w:ascii="宋体" w:hAnsi="宋体" w:cs="宋体"/>
          <w:color w:val="000000" w:themeColor="text1"/>
          <w:sz w:val="24"/>
          <w14:textFill>
            <w14:solidFill>
              <w14:schemeClr w14:val="tx1"/>
            </w14:solidFill>
          </w14:textFill>
        </w:rPr>
        <w:t>、项目概况</w:t>
      </w:r>
      <w:r>
        <w:rPr>
          <w:rFonts w:hint="eastAsia" w:ascii="宋体" w:hAnsi="宋体" w:cs="宋体"/>
          <w:color w:val="000000" w:themeColor="text1"/>
          <w:sz w:val="24"/>
          <w14:textFill>
            <w14:solidFill>
              <w14:schemeClr w14:val="tx1"/>
            </w14:solidFill>
          </w14:textFill>
        </w:rPr>
        <w:t>》</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7"/>
    </w:p>
    <w:p w14:paraId="171DBD89">
      <w:pPr>
        <w:widowControl/>
        <w:jc w:val="left"/>
        <w:rPr>
          <w:rFonts w:ascii="黑体" w:hAnsi="黑体" w:eastAsia="黑体"/>
          <w:sz w:val="28"/>
          <w:szCs w:val="28"/>
        </w:rPr>
      </w:pPr>
      <w:bookmarkStart w:id="38" w:name="_Toc476736025"/>
      <w:bookmarkStart w:id="39" w:name="_Toc325028474"/>
      <w:bookmarkStart w:id="40" w:name="_Toc453578491"/>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24591"/>
      <w:bookmarkStart w:id="42" w:name="_Toc19468"/>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76736028"/>
      <w:bookmarkStart w:id="46" w:name="_Toc325028475"/>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2"/>
      </w:pPr>
    </w:p>
    <w:p w14:paraId="73A56163">
      <w:pPr>
        <w:pStyle w:val="12"/>
      </w:pPr>
    </w:p>
    <w:p w14:paraId="2A9617BD">
      <w:pPr>
        <w:pStyle w:val="12"/>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4"/>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453578493"/>
      <w:bookmarkStart w:id="50" w:name="_Toc476736029"/>
      <w:bookmarkStart w:id="51" w:name="_Toc325028476"/>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2" w:name="_Toc26086"/>
      <w:r>
        <w:rPr>
          <w:rFonts w:hint="eastAsia"/>
        </w:rPr>
        <w:t>第四章  采购需求</w:t>
      </w:r>
      <w:bookmarkEnd w:id="52"/>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05A52C3F">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5734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D6EC091">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1483B26D">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25DF1FC8">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19AD151F">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6FC659D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5" w:type="dxa"/>
            <w:vAlign w:val="center"/>
          </w:tcPr>
          <w:p w14:paraId="68BD1111">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1D0A1137">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6" w:type="dxa"/>
            <w:vAlign w:val="center"/>
          </w:tcPr>
          <w:p w14:paraId="2A00C9B3">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1010B80">
            <w:pPr>
              <w:autoSpaceDE w:val="0"/>
              <w:autoSpaceDN w:val="0"/>
              <w:adjustRightInd w:val="0"/>
              <w:spacing w:line="400" w:lineRule="exact"/>
              <w:jc w:val="center"/>
              <w:rPr>
                <w:rFonts w:ascii="宋体" w:hAnsi="宋体"/>
                <w:kern w:val="0"/>
                <w:sz w:val="24"/>
              </w:rPr>
            </w:pPr>
            <w:r>
              <w:rPr>
                <w:rFonts w:hint="eastAsia" w:ascii="宋体" w:hAnsi="宋体"/>
                <w:kern w:val="0"/>
                <w:sz w:val="24"/>
              </w:rPr>
              <w:t>（元）</w:t>
            </w:r>
          </w:p>
        </w:tc>
        <w:tc>
          <w:tcPr>
            <w:tcW w:w="1418" w:type="dxa"/>
            <w:vAlign w:val="center"/>
          </w:tcPr>
          <w:p w14:paraId="3F98A260">
            <w:pPr>
              <w:autoSpaceDE w:val="0"/>
              <w:autoSpaceDN w:val="0"/>
              <w:adjustRightInd w:val="0"/>
              <w:spacing w:line="400" w:lineRule="exact"/>
              <w:jc w:val="center"/>
              <w:rPr>
                <w:rFonts w:ascii="宋体" w:hAnsi="宋体"/>
                <w:kern w:val="0"/>
                <w:sz w:val="24"/>
              </w:rPr>
            </w:pPr>
            <w:r>
              <w:rPr>
                <w:rFonts w:hint="eastAsia" w:ascii="宋体" w:hAnsi="宋体"/>
                <w:kern w:val="0"/>
                <w:sz w:val="24"/>
              </w:rPr>
              <w:t>申请科室</w:t>
            </w:r>
          </w:p>
        </w:tc>
      </w:tr>
      <w:tr w14:paraId="3C33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4" w:type="dxa"/>
            <w:vAlign w:val="center"/>
          </w:tcPr>
          <w:p w14:paraId="6B7B56A6">
            <w:pPr>
              <w:autoSpaceDE w:val="0"/>
              <w:autoSpaceDN w:val="0"/>
              <w:adjustRightInd w:val="0"/>
              <w:jc w:val="center"/>
              <w:rPr>
                <w:rFonts w:ascii="宋体" w:hAnsi="宋体"/>
                <w:kern w:val="0"/>
                <w:sz w:val="24"/>
              </w:rPr>
            </w:pPr>
            <w:r>
              <w:rPr>
                <w:rFonts w:ascii="宋体" w:hAnsi="宋体"/>
                <w:kern w:val="0"/>
                <w:sz w:val="24"/>
              </w:rPr>
              <w:t>1</w:t>
            </w:r>
          </w:p>
        </w:tc>
        <w:tc>
          <w:tcPr>
            <w:tcW w:w="2262" w:type="dxa"/>
            <w:vAlign w:val="center"/>
          </w:tcPr>
          <w:p w14:paraId="77085740">
            <w:pPr>
              <w:autoSpaceDE w:val="0"/>
              <w:autoSpaceDN w:val="0"/>
              <w:adjustRightInd w:val="0"/>
              <w:jc w:val="center"/>
              <w:rPr>
                <w:rFonts w:ascii="宋体" w:hAnsi="宋体"/>
                <w:sz w:val="24"/>
              </w:rPr>
            </w:pPr>
            <w:r>
              <w:rPr>
                <w:rFonts w:hint="eastAsia" w:ascii="宋体" w:hAnsi="宋体"/>
                <w:sz w:val="24"/>
              </w:rPr>
              <w:t>负压吸引器</w:t>
            </w:r>
          </w:p>
        </w:tc>
        <w:tc>
          <w:tcPr>
            <w:tcW w:w="992" w:type="dxa"/>
            <w:vAlign w:val="center"/>
          </w:tcPr>
          <w:p w14:paraId="5BBF2D14">
            <w:pPr>
              <w:autoSpaceDE w:val="0"/>
              <w:autoSpaceDN w:val="0"/>
              <w:adjustRightInd w:val="0"/>
              <w:jc w:val="center"/>
              <w:rPr>
                <w:rFonts w:ascii="宋体" w:hAnsi="宋体"/>
                <w:kern w:val="0"/>
                <w:sz w:val="24"/>
              </w:rPr>
            </w:pPr>
            <w:r>
              <w:rPr>
                <w:rFonts w:ascii="宋体" w:hAnsi="宋体"/>
                <w:kern w:val="0"/>
                <w:sz w:val="24"/>
              </w:rPr>
              <w:t>1</w:t>
            </w:r>
          </w:p>
        </w:tc>
        <w:tc>
          <w:tcPr>
            <w:tcW w:w="1276" w:type="dxa"/>
            <w:vAlign w:val="center"/>
          </w:tcPr>
          <w:p w14:paraId="55DF42E9">
            <w:pPr>
              <w:autoSpaceDE w:val="0"/>
              <w:autoSpaceDN w:val="0"/>
              <w:adjustRightInd w:val="0"/>
              <w:jc w:val="center"/>
              <w:rPr>
                <w:rFonts w:ascii="宋体" w:hAnsi="宋体"/>
                <w:kern w:val="0"/>
                <w:sz w:val="24"/>
              </w:rPr>
            </w:pPr>
            <w:r>
              <w:rPr>
                <w:rFonts w:hint="eastAsia" w:ascii="宋体" w:hAnsi="宋体"/>
                <w:kern w:val="0"/>
                <w:sz w:val="24"/>
              </w:rPr>
              <w:t>80000</w:t>
            </w:r>
          </w:p>
        </w:tc>
        <w:tc>
          <w:tcPr>
            <w:tcW w:w="1275" w:type="dxa"/>
            <w:vAlign w:val="center"/>
          </w:tcPr>
          <w:p w14:paraId="04CFC21B">
            <w:pPr>
              <w:autoSpaceDE w:val="0"/>
              <w:autoSpaceDN w:val="0"/>
              <w:adjustRightInd w:val="0"/>
              <w:jc w:val="center"/>
              <w:rPr>
                <w:rFonts w:ascii="宋体" w:hAnsi="宋体"/>
                <w:kern w:val="0"/>
                <w:sz w:val="24"/>
              </w:rPr>
            </w:pPr>
            <w:r>
              <w:rPr>
                <w:rFonts w:hint="eastAsia" w:ascii="宋体" w:hAnsi="宋体"/>
                <w:kern w:val="0"/>
                <w:sz w:val="24"/>
              </w:rPr>
              <w:t>80000</w:t>
            </w:r>
          </w:p>
        </w:tc>
        <w:tc>
          <w:tcPr>
            <w:tcW w:w="1276" w:type="dxa"/>
            <w:vAlign w:val="center"/>
          </w:tcPr>
          <w:p w14:paraId="4FDCCA73">
            <w:pPr>
              <w:autoSpaceDE w:val="0"/>
              <w:autoSpaceDN w:val="0"/>
              <w:adjustRightInd w:val="0"/>
              <w:jc w:val="center"/>
              <w:rPr>
                <w:rFonts w:ascii="宋体" w:hAnsi="宋体"/>
                <w:kern w:val="0"/>
                <w:sz w:val="24"/>
              </w:rPr>
            </w:pPr>
            <w:r>
              <w:rPr>
                <w:rFonts w:hint="eastAsia" w:ascii="宋体" w:hAnsi="宋体"/>
                <w:kern w:val="0"/>
                <w:sz w:val="24"/>
              </w:rPr>
              <w:t>80000</w:t>
            </w:r>
          </w:p>
        </w:tc>
        <w:tc>
          <w:tcPr>
            <w:tcW w:w="1418" w:type="dxa"/>
            <w:vAlign w:val="center"/>
          </w:tcPr>
          <w:p w14:paraId="2A484009">
            <w:pPr>
              <w:autoSpaceDE w:val="0"/>
              <w:autoSpaceDN w:val="0"/>
              <w:adjustRightInd w:val="0"/>
              <w:jc w:val="center"/>
              <w:rPr>
                <w:rFonts w:ascii="宋体" w:hAnsi="宋体"/>
                <w:kern w:val="0"/>
                <w:sz w:val="24"/>
              </w:rPr>
            </w:pPr>
            <w:r>
              <w:rPr>
                <w:rFonts w:hint="eastAsia" w:ascii="宋体" w:hAnsi="宋体"/>
                <w:kern w:val="0"/>
                <w:sz w:val="24"/>
              </w:rPr>
              <w:t>妇科</w:t>
            </w:r>
          </w:p>
        </w:tc>
      </w:tr>
    </w:tbl>
    <w:p w14:paraId="783CD1EA">
      <w:pPr>
        <w:rPr>
          <w:rFonts w:ascii="宋体" w:hAnsi="宋体"/>
          <w:sz w:val="24"/>
        </w:rPr>
      </w:pPr>
    </w:p>
    <w:p w14:paraId="44784CAD">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80"/>
        <w:gridCol w:w="1168"/>
        <w:gridCol w:w="780"/>
        <w:gridCol w:w="1039"/>
        <w:gridCol w:w="1254"/>
        <w:gridCol w:w="826"/>
        <w:gridCol w:w="1380"/>
      </w:tblGrid>
      <w:tr w14:paraId="188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1ECF78DD">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2280" w:type="dxa"/>
            <w:vAlign w:val="center"/>
          </w:tcPr>
          <w:p w14:paraId="4CF47F0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168" w:type="dxa"/>
            <w:vAlign w:val="center"/>
          </w:tcPr>
          <w:p w14:paraId="35C07C8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780" w:type="dxa"/>
            <w:vAlign w:val="center"/>
          </w:tcPr>
          <w:p w14:paraId="4530862C">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1039" w:type="dxa"/>
            <w:vAlign w:val="center"/>
          </w:tcPr>
          <w:p w14:paraId="72D606A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54" w:type="dxa"/>
            <w:vAlign w:val="center"/>
          </w:tcPr>
          <w:p w14:paraId="1724EA5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826" w:type="dxa"/>
            <w:vAlign w:val="center"/>
          </w:tcPr>
          <w:p w14:paraId="4232B87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是否</w:t>
            </w:r>
            <w:r>
              <w:rPr>
                <w:rFonts w:ascii="宋体" w:hAnsi="宋体"/>
                <w:color w:val="000000"/>
                <w:kern w:val="0"/>
                <w:sz w:val="24"/>
              </w:rPr>
              <w:t>挂网</w:t>
            </w:r>
          </w:p>
        </w:tc>
        <w:tc>
          <w:tcPr>
            <w:tcW w:w="1380" w:type="dxa"/>
            <w:vAlign w:val="center"/>
          </w:tcPr>
          <w:p w14:paraId="2DF7737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申请科室</w:t>
            </w:r>
          </w:p>
        </w:tc>
      </w:tr>
      <w:tr w14:paraId="3FC6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32776735">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1</w:t>
            </w:r>
          </w:p>
        </w:tc>
        <w:tc>
          <w:tcPr>
            <w:tcW w:w="2280" w:type="dxa"/>
            <w:vAlign w:val="center"/>
          </w:tcPr>
          <w:p w14:paraId="6773EE49">
            <w:pPr>
              <w:widowControl/>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一次性使用吸引器连接管</w:t>
            </w:r>
          </w:p>
        </w:tc>
        <w:tc>
          <w:tcPr>
            <w:tcW w:w="1168" w:type="dxa"/>
            <w:vAlign w:val="center"/>
          </w:tcPr>
          <w:p w14:paraId="22DAA777">
            <w:pPr>
              <w:spacing w:line="400" w:lineRule="exact"/>
              <w:jc w:val="center"/>
              <w:rPr>
                <w:rFonts w:ascii="宋体" w:hAnsi="宋体"/>
                <w:color w:val="000000"/>
                <w:kern w:val="0"/>
                <w:sz w:val="24"/>
              </w:rPr>
            </w:pPr>
            <w:r>
              <w:rPr>
                <w:rFonts w:hint="eastAsia" w:ascii="宋体" w:hAnsi="宋体"/>
                <w:color w:val="000000"/>
                <w:kern w:val="0"/>
                <w:sz w:val="24"/>
              </w:rPr>
              <w:t>A-2500</w:t>
            </w:r>
          </w:p>
        </w:tc>
        <w:tc>
          <w:tcPr>
            <w:tcW w:w="780" w:type="dxa"/>
            <w:vAlign w:val="center"/>
          </w:tcPr>
          <w:p w14:paraId="13F5FF21">
            <w:pPr>
              <w:widowControl/>
              <w:jc w:val="center"/>
              <w:rPr>
                <w:rFonts w:ascii="宋体" w:hAnsi="宋体" w:cs="Tahoma"/>
                <w:kern w:val="0"/>
                <w:sz w:val="24"/>
              </w:rPr>
            </w:pPr>
            <w:r>
              <w:rPr>
                <w:rFonts w:hint="eastAsia" w:ascii="宋体" w:hAnsi="宋体" w:cs="Tahoma"/>
                <w:kern w:val="0"/>
                <w:sz w:val="24"/>
              </w:rPr>
              <w:t>根</w:t>
            </w:r>
          </w:p>
        </w:tc>
        <w:tc>
          <w:tcPr>
            <w:tcW w:w="1039" w:type="dxa"/>
            <w:vAlign w:val="center"/>
          </w:tcPr>
          <w:p w14:paraId="3E42AAED">
            <w:pPr>
              <w:jc w:val="center"/>
              <w:rPr>
                <w:rFonts w:ascii="宋体" w:hAnsi="宋体" w:cs="Tahoma"/>
                <w:sz w:val="24"/>
              </w:rPr>
            </w:pPr>
            <w:r>
              <w:rPr>
                <w:rFonts w:hint="eastAsia" w:ascii="宋体" w:hAnsi="宋体" w:cs="Tahoma"/>
                <w:sz w:val="24"/>
              </w:rPr>
              <w:t>105</w:t>
            </w:r>
          </w:p>
        </w:tc>
        <w:tc>
          <w:tcPr>
            <w:tcW w:w="1254" w:type="dxa"/>
            <w:vAlign w:val="center"/>
          </w:tcPr>
          <w:p w14:paraId="0DEA12EC">
            <w:pPr>
              <w:jc w:val="center"/>
              <w:rPr>
                <w:rFonts w:ascii="宋体" w:hAnsi="宋体" w:cs="Tahoma"/>
                <w:sz w:val="24"/>
              </w:rPr>
            </w:pPr>
            <w:r>
              <w:rPr>
                <w:rFonts w:hint="eastAsia" w:ascii="宋体" w:hAnsi="宋体" w:cs="Tahoma"/>
                <w:sz w:val="24"/>
              </w:rPr>
              <w:t>105</w:t>
            </w:r>
          </w:p>
        </w:tc>
        <w:tc>
          <w:tcPr>
            <w:tcW w:w="826" w:type="dxa"/>
            <w:vAlign w:val="center"/>
          </w:tcPr>
          <w:p w14:paraId="77B774C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w:t>
            </w:r>
          </w:p>
        </w:tc>
        <w:tc>
          <w:tcPr>
            <w:tcW w:w="1380" w:type="dxa"/>
            <w:vAlign w:val="center"/>
          </w:tcPr>
          <w:p w14:paraId="69147182">
            <w:pPr>
              <w:autoSpaceDE w:val="0"/>
              <w:autoSpaceDN w:val="0"/>
              <w:adjustRightInd w:val="0"/>
              <w:jc w:val="center"/>
              <w:rPr>
                <w:rFonts w:ascii="宋体" w:hAnsi="宋体"/>
                <w:color w:val="000000"/>
                <w:kern w:val="0"/>
                <w:sz w:val="24"/>
              </w:rPr>
            </w:pPr>
            <w:r>
              <w:rPr>
                <w:rFonts w:hint="eastAsia" w:ascii="宋体" w:hAnsi="宋体"/>
                <w:color w:val="000000"/>
                <w:kern w:val="0"/>
                <w:sz w:val="24"/>
              </w:rPr>
              <w:t>妇科</w:t>
            </w:r>
          </w:p>
        </w:tc>
      </w:tr>
    </w:tbl>
    <w:p w14:paraId="0AA199EE">
      <w:pPr>
        <w:rPr>
          <w:b/>
          <w:bCs/>
          <w:sz w:val="28"/>
          <w:szCs w:val="28"/>
        </w:rPr>
      </w:pPr>
      <w:r>
        <w:rPr>
          <w:rFonts w:hint="eastAsia"/>
          <w:b/>
          <w:bCs/>
          <w:sz w:val="28"/>
          <w:szCs w:val="28"/>
        </w:rPr>
        <w:t>★二、商务要求（实质性要求）</w:t>
      </w:r>
    </w:p>
    <w:p w14:paraId="749B02D2">
      <w:pPr>
        <w:pStyle w:val="17"/>
        <w:spacing w:before="241" w:beforeLines="50" w:after="241" w:afterLines="50" w:line="460" w:lineRule="exact"/>
        <w:rPr>
          <w:b/>
        </w:rPr>
      </w:pPr>
      <w:r>
        <w:rPr>
          <w:rFonts w:hint="eastAsia"/>
          <w:b/>
        </w:rPr>
        <w:t>设备:</w:t>
      </w:r>
    </w:p>
    <w:p w14:paraId="79C81770">
      <w:pPr>
        <w:pStyle w:val="17"/>
        <w:spacing w:before="241" w:beforeLines="50" w:after="241" w:afterLines="50" w:line="460" w:lineRule="exact"/>
      </w:pPr>
      <w:r>
        <w:rPr>
          <w:rFonts w:hint="eastAsia"/>
        </w:rPr>
        <w:t>1．交货期及地点</w:t>
      </w:r>
    </w:p>
    <w:p w14:paraId="0C382C49">
      <w:pPr>
        <w:pStyle w:val="17"/>
        <w:spacing w:before="241" w:beforeLines="50" w:after="241" w:afterLines="50" w:line="460" w:lineRule="exact"/>
      </w:pPr>
      <w:r>
        <w:rPr>
          <w:rFonts w:hint="eastAsia"/>
        </w:rPr>
        <w:t>1.1 交货期：采购合同签订后15日内完成。</w:t>
      </w:r>
    </w:p>
    <w:p w14:paraId="6207A517">
      <w:pPr>
        <w:pStyle w:val="17"/>
        <w:spacing w:before="241" w:beforeLines="50" w:after="241" w:afterLines="50" w:line="460" w:lineRule="exact"/>
      </w:pPr>
      <w:r>
        <w:rPr>
          <w:rFonts w:hint="eastAsia"/>
        </w:rPr>
        <w:t>1.2 交货地点:广安市人民医院/四川大学华西医院广安医院。</w:t>
      </w:r>
    </w:p>
    <w:p w14:paraId="5A554283">
      <w:pPr>
        <w:pStyle w:val="17"/>
        <w:spacing w:before="241" w:beforeLines="50" w:after="241" w:afterLines="50" w:line="460" w:lineRule="exact"/>
      </w:pPr>
      <w:r>
        <w:rPr>
          <w:rFonts w:hint="eastAsia"/>
        </w:rPr>
        <w:t>2．付款方法和条件</w:t>
      </w:r>
    </w:p>
    <w:p w14:paraId="13E58FA8">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17"/>
        <w:spacing w:before="241" w:beforeLines="50" w:after="241" w:afterLines="50" w:line="460" w:lineRule="exact"/>
      </w:pPr>
      <w:r>
        <w:rPr>
          <w:rFonts w:hint="eastAsia"/>
        </w:rPr>
        <w:t>3. 质保期：</w:t>
      </w:r>
    </w:p>
    <w:p w14:paraId="6406BBF9">
      <w:pPr>
        <w:pStyle w:val="17"/>
        <w:spacing w:before="241" w:beforeLines="50" w:after="241" w:afterLines="50" w:line="460" w:lineRule="exact"/>
      </w:pPr>
      <w:r>
        <w:rPr>
          <w:rFonts w:hint="eastAsia"/>
        </w:rPr>
        <w:t>3.1不低于一年(质保期为验收合格之日起开始计算)。</w:t>
      </w:r>
    </w:p>
    <w:p w14:paraId="71661DB7">
      <w:pPr>
        <w:pStyle w:val="17"/>
        <w:spacing w:before="241" w:beforeLines="50" w:after="241" w:afterLines="50" w:line="460" w:lineRule="exact"/>
      </w:pPr>
      <w:r>
        <w:rPr>
          <w:rFonts w:hint="eastAsia"/>
        </w:rPr>
        <w:t>4. 验收</w:t>
      </w:r>
    </w:p>
    <w:p w14:paraId="758EE2A6">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17"/>
        <w:spacing w:before="241" w:beforeLines="50" w:after="241" w:afterLines="50" w:line="460" w:lineRule="exact"/>
      </w:pPr>
      <w:r>
        <w:rPr>
          <w:rFonts w:hint="eastAsia"/>
        </w:rPr>
        <w:t>4.4.如质量终验合格，双方签署《安装验收报告》；</w:t>
      </w:r>
    </w:p>
    <w:p w14:paraId="724155EF">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17"/>
        <w:spacing w:before="241" w:beforeLines="50" w:after="241" w:afterLines="50" w:line="460" w:lineRule="exact"/>
      </w:pPr>
      <w:r>
        <w:rPr>
          <w:rFonts w:hint="eastAsia"/>
        </w:rPr>
        <w:t>5. 违约责任：</w:t>
      </w:r>
    </w:p>
    <w:p w14:paraId="0D9B2FB2">
      <w:pPr>
        <w:pStyle w:val="17"/>
        <w:spacing w:before="241" w:beforeLines="50" w:after="241" w:afterLines="50" w:line="460" w:lineRule="exact"/>
      </w:pPr>
      <w:r>
        <w:rPr>
          <w:rFonts w:hint="eastAsia"/>
        </w:rPr>
        <w:t>5.1.供应商必须遵守采购合同并执行合同中的各项规定，保证采购合同的正常履行。</w:t>
      </w:r>
    </w:p>
    <w:p w14:paraId="15818580">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17"/>
        <w:spacing w:before="241" w:beforeLines="50" w:after="241" w:afterLines="50" w:line="460" w:lineRule="exact"/>
      </w:pPr>
      <w:r>
        <w:rPr>
          <w:rFonts w:hint="eastAsia"/>
        </w:rPr>
        <w:t>5.5.有下列情形之一的，当事人可以解除合同：</w:t>
      </w:r>
    </w:p>
    <w:p w14:paraId="72C4E891">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17"/>
        <w:spacing w:before="241" w:beforeLines="50" w:after="241" w:afterLines="50" w:line="460" w:lineRule="exact"/>
      </w:pPr>
      <w:r>
        <w:rPr>
          <w:rFonts w:hint="eastAsia"/>
        </w:rPr>
        <w:t>5.5.2当事人一方迟延履行主要债务，经催告后在合理期限内仍未履行；</w:t>
      </w:r>
    </w:p>
    <w:p w14:paraId="2DDAD67F">
      <w:pPr>
        <w:pStyle w:val="17"/>
        <w:spacing w:before="241" w:beforeLines="50" w:after="241" w:afterLines="50" w:line="460" w:lineRule="exact"/>
      </w:pPr>
      <w:r>
        <w:rPr>
          <w:rFonts w:hint="eastAsia"/>
        </w:rPr>
        <w:t>5.5.3当事人一方迟延履行债务或者有其他违约行为致使不能实现合同目的；</w:t>
      </w:r>
    </w:p>
    <w:p w14:paraId="3F6389B9">
      <w:pPr>
        <w:pStyle w:val="17"/>
        <w:spacing w:before="241" w:beforeLines="50" w:after="241" w:afterLines="50" w:line="460" w:lineRule="exact"/>
      </w:pPr>
      <w:r>
        <w:rPr>
          <w:rFonts w:hint="eastAsia"/>
        </w:rPr>
        <w:t>5.5.4法律规定的其他情形。</w:t>
      </w:r>
    </w:p>
    <w:p w14:paraId="68A751E6">
      <w:pPr>
        <w:pStyle w:val="17"/>
        <w:spacing w:before="241" w:beforeLines="50" w:after="241" w:afterLines="50" w:line="460" w:lineRule="exact"/>
      </w:pPr>
      <w:r>
        <w:rPr>
          <w:rFonts w:hint="eastAsia"/>
        </w:rPr>
        <w:t>6.解决争议的方法：</w:t>
      </w:r>
    </w:p>
    <w:p w14:paraId="75FDE0A2">
      <w:pPr>
        <w:pStyle w:val="17"/>
        <w:spacing w:before="241" w:beforeLines="50" w:after="241" w:afterLines="50" w:line="460" w:lineRule="exact"/>
      </w:pPr>
      <w:r>
        <w:rPr>
          <w:rFonts w:hint="eastAsia"/>
        </w:rPr>
        <w:t>6.1.6.1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17"/>
        <w:spacing w:before="241" w:beforeLines="50" w:after="241" w:afterLines="50" w:line="460" w:lineRule="exact"/>
      </w:pPr>
      <w:r>
        <w:rPr>
          <w:rFonts w:hint="eastAsia"/>
        </w:rPr>
        <w:t>7 其他要求：</w:t>
      </w:r>
    </w:p>
    <w:p w14:paraId="6D5DE81B">
      <w:pPr>
        <w:pStyle w:val="17"/>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17"/>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17"/>
        <w:spacing w:before="241" w:beforeLines="50" w:after="241" w:afterLines="50" w:line="460" w:lineRule="exact"/>
      </w:pPr>
      <w:r>
        <w:rPr>
          <w:rFonts w:hint="eastAsia"/>
        </w:rPr>
        <w:t>7.4.接受项目行业管理部门及政府有关部门的指导，接受采购人的监督。</w:t>
      </w:r>
    </w:p>
    <w:p w14:paraId="6AAA5558">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17"/>
        <w:spacing w:before="241" w:beforeLines="50" w:after="241" w:afterLines="50" w:line="460" w:lineRule="exact"/>
        <w:rPr>
          <w:b/>
        </w:rPr>
      </w:pPr>
      <w:r>
        <w:rPr>
          <w:rFonts w:hint="eastAsia"/>
          <w:b/>
        </w:rPr>
        <w:t>耗材:</w:t>
      </w:r>
    </w:p>
    <w:p w14:paraId="4037D903">
      <w:pPr>
        <w:pStyle w:val="17"/>
        <w:spacing w:before="241" w:beforeLines="50" w:after="241" w:afterLines="50" w:line="460" w:lineRule="exact"/>
      </w:pPr>
      <w:r>
        <w:rPr>
          <w:rFonts w:hint="eastAsia"/>
        </w:rPr>
        <w:t>1.交货期及地点</w:t>
      </w:r>
    </w:p>
    <w:p w14:paraId="398D19FD">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17"/>
        <w:spacing w:before="241" w:beforeLines="50" w:after="241" w:afterLines="50" w:line="460" w:lineRule="exact"/>
      </w:pPr>
      <w:r>
        <w:rPr>
          <w:rFonts w:hint="eastAsia"/>
        </w:rPr>
        <w:t>1.2 交货地点:广安市人民医院/四川大学华西医院广安医院。</w:t>
      </w:r>
    </w:p>
    <w:p w14:paraId="051B0E56">
      <w:pPr>
        <w:pStyle w:val="17"/>
        <w:spacing w:before="241" w:beforeLines="50" w:after="241" w:afterLines="50" w:line="460" w:lineRule="exact"/>
      </w:pPr>
      <w:r>
        <w:rPr>
          <w:rFonts w:hint="eastAsia"/>
        </w:rPr>
        <w:t>2. 付款方式和条件</w:t>
      </w:r>
    </w:p>
    <w:p w14:paraId="7A019FD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17"/>
        <w:spacing w:before="241" w:beforeLines="50" w:after="241" w:afterLines="50" w:line="460" w:lineRule="exact"/>
      </w:pPr>
      <w:r>
        <w:rPr>
          <w:rFonts w:hint="eastAsia"/>
        </w:rPr>
        <w:t>3.验收</w:t>
      </w:r>
    </w:p>
    <w:p w14:paraId="3BA1DC4D">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17"/>
        <w:spacing w:before="241" w:beforeLines="50" w:after="241" w:afterLines="50" w:line="460" w:lineRule="exact"/>
      </w:pPr>
      <w:r>
        <w:rPr>
          <w:rFonts w:hint="eastAsia"/>
        </w:rPr>
        <w:t>3.3 由采购人人为因素所造成的耗材污染、过期、变质等损失，由采购人自行承担。</w:t>
      </w:r>
    </w:p>
    <w:p w14:paraId="0AB3A7DA">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17"/>
        <w:spacing w:before="241" w:beforeLines="50" w:after="241" w:afterLines="50" w:line="460" w:lineRule="exact"/>
      </w:pPr>
      <w:r>
        <w:rPr>
          <w:rFonts w:hint="eastAsia"/>
        </w:rPr>
        <w:t>3.5 验收合格之前，医用耗材毁损灭失的风险由中标人承担。</w:t>
      </w:r>
    </w:p>
    <w:p w14:paraId="56A4778A">
      <w:pPr>
        <w:pStyle w:val="17"/>
        <w:spacing w:before="241" w:beforeLines="50" w:after="241" w:afterLines="50" w:line="460" w:lineRule="exact"/>
      </w:pPr>
      <w:r>
        <w:rPr>
          <w:rFonts w:hint="eastAsia"/>
        </w:rPr>
        <w:t>4. 违约责任：</w:t>
      </w:r>
    </w:p>
    <w:p w14:paraId="7E8ABF39">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17"/>
        <w:spacing w:before="241" w:beforeLines="50" w:after="241" w:afterLines="50" w:line="460" w:lineRule="exact"/>
      </w:pPr>
      <w:r>
        <w:rPr>
          <w:rFonts w:hint="eastAsia"/>
        </w:rPr>
        <w:t>5.解决争议的方法：</w:t>
      </w:r>
    </w:p>
    <w:p w14:paraId="7E95CDAA">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17"/>
        <w:spacing w:before="241" w:beforeLines="50" w:after="241" w:afterLines="50" w:line="460" w:lineRule="exact"/>
      </w:pPr>
      <w:r>
        <w:rPr>
          <w:rFonts w:hint="eastAsia"/>
        </w:rPr>
        <w:t>6 其他要求：</w:t>
      </w:r>
    </w:p>
    <w:p w14:paraId="51757261">
      <w:pPr>
        <w:pStyle w:val="17"/>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17"/>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17"/>
        <w:spacing w:before="241" w:beforeLines="50" w:after="241" w:afterLines="50" w:line="460" w:lineRule="exact"/>
      </w:pPr>
      <w:r>
        <w:rPr>
          <w:rFonts w:hint="eastAsia"/>
        </w:rPr>
        <w:t>6.4 接受项目行业管理部门及政府有关部门的指导，接受采购人的监督。</w:t>
      </w:r>
    </w:p>
    <w:p w14:paraId="19B780A5">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4AC78E95">
      <w:pPr>
        <w:ind w:firstLine="498" w:firstLineChars="200"/>
        <w:rPr>
          <w:rFonts w:ascii="宋体" w:hAnsi="宋体"/>
          <w:sz w:val="24"/>
        </w:rPr>
      </w:pPr>
      <w:r>
        <w:rPr>
          <w:rFonts w:hint="eastAsia" w:ascii="宋体" w:hAnsi="宋体"/>
          <w:sz w:val="24"/>
        </w:rPr>
        <w:t>★1.适用范围：用于提取卵母细胞</w:t>
      </w:r>
    </w:p>
    <w:p w14:paraId="64B5D786">
      <w:pPr>
        <w:ind w:firstLine="498" w:firstLineChars="200"/>
        <w:rPr>
          <w:rFonts w:ascii="宋体" w:hAnsi="宋体"/>
          <w:sz w:val="24"/>
        </w:rPr>
      </w:pPr>
      <w:r>
        <w:rPr>
          <w:rFonts w:hint="eastAsia" w:ascii="宋体" w:hAnsi="宋体"/>
          <w:sz w:val="24"/>
        </w:rPr>
        <w:t>2.结构及组成：由负压泵、一次性使用负压管（连接管）和过滤器、脚踏开关及电源线组成</w:t>
      </w:r>
    </w:p>
    <w:p w14:paraId="2F1A1103">
      <w:pPr>
        <w:ind w:firstLine="498" w:firstLineChars="200"/>
        <w:rPr>
          <w:rFonts w:ascii="宋体" w:hAnsi="宋体"/>
          <w:sz w:val="24"/>
        </w:rPr>
      </w:pPr>
      <w:r>
        <w:rPr>
          <w:rFonts w:hint="eastAsia" w:ascii="宋体" w:hAnsi="宋体"/>
          <w:sz w:val="24"/>
        </w:rPr>
        <w:t>▲3.真空范围：-10mmHg到500mmHg，-1.0kPa到-67.0kPa （0.1kPa调节梯度）</w:t>
      </w:r>
    </w:p>
    <w:p w14:paraId="160B780F">
      <w:pPr>
        <w:ind w:firstLine="498" w:firstLineChars="200"/>
        <w:rPr>
          <w:rFonts w:ascii="宋体" w:hAnsi="宋体"/>
          <w:sz w:val="24"/>
        </w:rPr>
      </w:pPr>
      <w:r>
        <w:rPr>
          <w:rFonts w:hint="eastAsia" w:ascii="宋体" w:hAnsi="宋体"/>
          <w:sz w:val="24"/>
        </w:rPr>
        <w:t>4.真空度极值：≤-530mmHg</w:t>
      </w:r>
    </w:p>
    <w:p w14:paraId="5109945D">
      <w:pPr>
        <w:ind w:firstLine="498" w:firstLineChars="200"/>
        <w:rPr>
          <w:rFonts w:ascii="宋体" w:hAnsi="宋体"/>
          <w:sz w:val="24"/>
        </w:rPr>
      </w:pPr>
      <w:r>
        <w:rPr>
          <w:rFonts w:hint="eastAsia" w:ascii="宋体" w:hAnsi="宋体"/>
          <w:sz w:val="24"/>
        </w:rPr>
        <w:t>▲5.负压增减最小单位：±1mmHg</w:t>
      </w:r>
    </w:p>
    <w:p w14:paraId="778DA779">
      <w:pPr>
        <w:ind w:firstLine="498" w:firstLineChars="200"/>
        <w:rPr>
          <w:rFonts w:ascii="宋体" w:hAnsi="宋体"/>
          <w:sz w:val="24"/>
        </w:rPr>
      </w:pPr>
      <w:r>
        <w:rPr>
          <w:rFonts w:hint="eastAsia" w:ascii="宋体" w:hAnsi="宋体"/>
          <w:sz w:val="24"/>
        </w:rPr>
        <w:t>6.真空精确范围： ≤±5mmHg（=0.7kPa）</w:t>
      </w:r>
    </w:p>
    <w:p w14:paraId="105EB82F">
      <w:pPr>
        <w:ind w:firstLine="498" w:firstLineChars="200"/>
        <w:rPr>
          <w:rFonts w:ascii="宋体" w:hAnsi="宋体"/>
          <w:sz w:val="24"/>
        </w:rPr>
      </w:pPr>
      <w:r>
        <w:rPr>
          <w:rFonts w:hint="eastAsia" w:ascii="宋体" w:hAnsi="宋体"/>
          <w:sz w:val="24"/>
        </w:rPr>
        <w:t>7.工作音量调节：≥四档可调节音量</w:t>
      </w:r>
    </w:p>
    <w:p w14:paraId="1CCC93DB">
      <w:pPr>
        <w:ind w:firstLine="498" w:firstLineChars="200"/>
        <w:rPr>
          <w:rFonts w:ascii="宋体" w:hAnsi="宋体"/>
          <w:sz w:val="24"/>
        </w:rPr>
      </w:pPr>
      <w:r>
        <w:rPr>
          <w:rFonts w:hint="eastAsia" w:ascii="宋体" w:hAnsi="宋体"/>
          <w:sz w:val="24"/>
        </w:rPr>
        <w:t>8.过滤系统：包含内置和外置两套过滤系统，并支持同时使用</w:t>
      </w:r>
    </w:p>
    <w:p w14:paraId="6F50F58C">
      <w:pPr>
        <w:ind w:firstLine="498" w:firstLineChars="200"/>
        <w:rPr>
          <w:rFonts w:ascii="宋体" w:hAnsi="宋体"/>
          <w:sz w:val="24"/>
        </w:rPr>
      </w:pPr>
      <w:r>
        <w:rPr>
          <w:rFonts w:hint="eastAsia" w:ascii="宋体" w:hAnsi="宋体"/>
          <w:sz w:val="24"/>
        </w:rPr>
        <w:t>9.工作模式：包含点动式、连续式等类型，具有切换功能</w:t>
      </w:r>
    </w:p>
    <w:p w14:paraId="0FE8F685">
      <w:pPr>
        <w:ind w:firstLine="498" w:firstLineChars="200"/>
        <w:rPr>
          <w:rFonts w:ascii="宋体" w:hAnsi="宋体"/>
          <w:sz w:val="24"/>
        </w:rPr>
      </w:pPr>
      <w:r>
        <w:rPr>
          <w:rFonts w:hint="eastAsia" w:ascii="宋体" w:hAnsi="宋体"/>
          <w:sz w:val="24"/>
        </w:rPr>
        <w:t>▲10.具有一键冲洗按键，用于疏通取卵针堵塞</w:t>
      </w:r>
    </w:p>
    <w:p w14:paraId="77460D20">
      <w:pPr>
        <w:ind w:firstLine="498" w:firstLineChars="200"/>
        <w:rPr>
          <w:rFonts w:ascii="宋体" w:hAnsi="宋体"/>
          <w:sz w:val="24"/>
        </w:rPr>
      </w:pPr>
      <w:r>
        <w:rPr>
          <w:rFonts w:hint="eastAsia" w:ascii="宋体" w:hAnsi="宋体"/>
          <w:sz w:val="24"/>
        </w:rPr>
        <w:t>11.全部按键为防水电容按键</w:t>
      </w:r>
    </w:p>
    <w:p w14:paraId="55728966">
      <w:pPr>
        <w:ind w:firstLine="498" w:firstLineChars="200"/>
        <w:rPr>
          <w:rFonts w:ascii="宋体" w:hAnsi="宋体"/>
          <w:sz w:val="24"/>
        </w:rPr>
      </w:pPr>
      <w:r>
        <w:rPr>
          <w:rFonts w:hint="eastAsia" w:ascii="宋体" w:hAnsi="宋体"/>
          <w:sz w:val="24"/>
        </w:rPr>
        <w:t>12.脚踏开关为防水设计，可直接水洗</w:t>
      </w:r>
    </w:p>
    <w:p w14:paraId="72019334">
      <w:pPr>
        <w:ind w:firstLine="498" w:firstLineChars="200"/>
        <w:rPr>
          <w:sz w:val="24"/>
        </w:rPr>
      </w:pPr>
      <w:r>
        <w:rPr>
          <w:rFonts w:hint="eastAsia" w:ascii="宋体" w:hAnsi="宋体"/>
          <w:sz w:val="24"/>
        </w:rPr>
        <w:t>13.通过连接管可与各型取卵针配套使用</w:t>
      </w:r>
    </w:p>
    <w:p w14:paraId="45C37EA1">
      <w:pPr>
        <w:ind w:firstLine="498" w:firstLineChars="200"/>
        <w:rPr>
          <w:rFonts w:ascii="宋体" w:hAnsi="宋体"/>
          <w:sz w:val="24"/>
        </w:rPr>
      </w:pPr>
      <w:r>
        <w:rPr>
          <w:rFonts w:hint="eastAsia" w:ascii="宋体" w:hAnsi="宋体"/>
          <w:sz w:val="24"/>
        </w:rPr>
        <w:t>14.配套</w:t>
      </w:r>
      <w:r>
        <w:rPr>
          <w:rFonts w:ascii="宋体" w:hAnsi="宋体"/>
          <w:sz w:val="24"/>
        </w:rPr>
        <w:t>耗材</w:t>
      </w:r>
    </w:p>
    <w:p w14:paraId="38142A1A">
      <w:pPr>
        <w:ind w:firstLine="498" w:firstLineChars="200"/>
        <w:rPr>
          <w:rFonts w:ascii="宋体" w:hAnsi="宋体"/>
          <w:sz w:val="24"/>
        </w:rPr>
      </w:pPr>
      <w:r>
        <w:rPr>
          <w:rFonts w:hint="eastAsia" w:ascii="宋体" w:hAnsi="宋体"/>
          <w:sz w:val="24"/>
        </w:rPr>
        <w:t>★14.1与负压吸引器配套使用</w:t>
      </w:r>
    </w:p>
    <w:p w14:paraId="23B0D4A4">
      <w:pPr>
        <w:ind w:firstLine="498" w:firstLineChars="200"/>
        <w:rPr>
          <w:rFonts w:ascii="宋体" w:hAnsi="宋体"/>
          <w:sz w:val="24"/>
        </w:rPr>
      </w:pPr>
      <w:r>
        <w:rPr>
          <w:rFonts w:hint="eastAsia" w:ascii="宋体" w:hAnsi="宋体"/>
          <w:sz w:val="24"/>
        </w:rPr>
        <w:t>14.2无菌包装</w:t>
      </w:r>
    </w:p>
    <w:p w14:paraId="2AD1E6E7">
      <w:pPr>
        <w:ind w:firstLine="498" w:firstLineChars="200"/>
        <w:rPr>
          <w:rFonts w:ascii="宋体" w:hAnsi="宋体"/>
          <w:sz w:val="24"/>
        </w:rPr>
      </w:pPr>
      <w:r>
        <w:rPr>
          <w:rFonts w:hint="eastAsia" w:ascii="宋体" w:hAnsi="宋体"/>
          <w:sz w:val="24"/>
        </w:rPr>
        <w:t>▲14.3长度≥2500mm</w:t>
      </w:r>
    </w:p>
    <w:p w14:paraId="57D0F4C6">
      <w:pPr>
        <w:ind w:firstLine="498" w:firstLineChars="200"/>
        <w:rPr>
          <w:rFonts w:ascii="宋体" w:hAnsi="宋体"/>
          <w:sz w:val="24"/>
        </w:rPr>
      </w:pPr>
      <w:r>
        <w:rPr>
          <w:rFonts w:hint="eastAsia" w:ascii="宋体" w:hAnsi="宋体"/>
          <w:sz w:val="24"/>
        </w:rPr>
        <w:t>14.4连接管一端配有滤器</w:t>
      </w:r>
    </w:p>
    <w:p w14:paraId="46C8610A">
      <w:pPr>
        <w:ind w:firstLine="498" w:firstLineChars="200"/>
      </w:pPr>
      <w:r>
        <w:rPr>
          <w:sz w:val="24"/>
        </w:rPr>
        <w:br w:type="page"/>
      </w:r>
    </w:p>
    <w:p w14:paraId="103F8731">
      <w:pPr>
        <w:pStyle w:val="39"/>
      </w:pPr>
      <w:bookmarkStart w:id="53" w:name="_Toc6839"/>
      <w:r>
        <w:rPr>
          <w:rFonts w:hint="eastAsia"/>
        </w:rPr>
        <w:t>第五章  评审办法</w:t>
      </w:r>
      <w:bookmarkEnd w:id="53"/>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77CC41CC">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bookmarkEnd w:id="54"/>
      <w:bookmarkStart w:id="55" w:name="_Toc217446099"/>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若设备涉及配套耗材属于挂网产品的须挂网采购,并提供产品在四川省医疗保障信息大数据一体化药品和医用耗材招采管理子系统中的产品ID、医保耗材代码、挂网价格的截图。</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产品说明书</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634" w:type="dxa"/>
        <w:jc w:val="center"/>
        <w:tblLayout w:type="fixed"/>
        <w:tblCellMar>
          <w:top w:w="0" w:type="dxa"/>
          <w:left w:w="108" w:type="dxa"/>
          <w:bottom w:w="0" w:type="dxa"/>
          <w:right w:w="108" w:type="dxa"/>
        </w:tblCellMar>
      </w:tblPr>
      <w:tblGrid>
        <w:gridCol w:w="724"/>
        <w:gridCol w:w="1206"/>
        <w:gridCol w:w="708"/>
        <w:gridCol w:w="5670"/>
        <w:gridCol w:w="1326"/>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326"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330DE24A">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:投标报价得分=(基准价/投标单价报价</w:t>
            </w:r>
            <w:r>
              <w:rPr>
                <w:rFonts w:ascii="宋体" w:hAnsi="宋体" w:cs="宋体"/>
              </w:rPr>
              <w:t>合计</w:t>
            </w:r>
            <w:r>
              <w:rPr>
                <w:rFonts w:hint="eastAsia" w:ascii="宋体" w:hAnsi="宋体" w:cs="宋体"/>
              </w:rPr>
              <w:t>)×25；B.设备报价得分:投标报价得分=(基准价/投标报价)×</w:t>
            </w:r>
            <w:r>
              <w:rPr>
                <w:rFonts w:ascii="宋体" w:hAnsi="宋体" w:cs="宋体"/>
              </w:rPr>
              <w:t>5</w:t>
            </w:r>
            <w:r>
              <w:rPr>
                <w:rFonts w:hint="eastAsia" w:ascii="宋体" w:hAnsi="宋体" w:cs="宋体"/>
              </w:rPr>
              <w:t>。投标人报价总得分=A</w:t>
            </w:r>
            <w:r>
              <w:rPr>
                <w:rFonts w:ascii="宋体" w:hAnsi="宋体" w:cs="宋体"/>
              </w:rPr>
              <w:t>+</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326"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技术指标和配置得分=普通参数得分（30分）+重要参数得分（30分）</w:t>
            </w:r>
            <w:r>
              <w:rPr>
                <w:rFonts w:hint="eastAsia" w:ascii="宋体" w:hAnsi="宋体" w:cs="宋体"/>
                <w:b/>
                <w:bCs/>
              </w:rPr>
              <w:t>注：</w:t>
            </w:r>
            <w:r>
              <w:rPr>
                <w:rFonts w:hint="eastAsia" w:ascii="宋体" w:hAnsi="宋体" w:cs="宋体"/>
                <w:b/>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326" w:type="dxa"/>
            <w:tcBorders>
              <w:top w:val="single" w:color="000000" w:sz="4" w:space="0"/>
              <w:bottom w:val="single" w:color="000000" w:sz="4" w:space="0"/>
              <w:right w:val="single" w:color="000000" w:sz="4" w:space="0"/>
            </w:tcBorders>
            <w:vAlign w:val="center"/>
          </w:tcPr>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326"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评标委员会根据供应商同类产品销售业绩（2022年1月1日-至递交投标文件截止日）进行评定，每提供一个业绩得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326"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326"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1"/>
    </w:tbl>
    <w:p w14:paraId="23788376">
      <w:pPr>
        <w:pStyle w:val="17"/>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2E583BBF">
      <w:pPr>
        <w:jc w:val="center"/>
        <w:rPr>
          <w:rFonts w:ascii="黑体" w:hAnsi="黑体" w:eastAsia="黑体" w:cs="黑体"/>
          <w:b/>
          <w:bCs/>
          <w:sz w:val="24"/>
        </w:rPr>
      </w:pPr>
      <w:bookmarkStart w:id="62" w:name="_Toc217446105"/>
      <w:bookmarkStart w:id="63" w:name="_Toc183582297"/>
      <w:bookmarkStart w:id="64" w:name="_Toc183682432"/>
      <w:bookmarkStart w:id="65" w:name="_Toc208849022"/>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68A2BE0">
      <w:r>
        <w:rPr>
          <w:rFonts w:hint="eastAsia" w:ascii="宋体" w:hAnsi="宋体"/>
          <w:szCs w:val="36"/>
        </w:rPr>
        <w:br w:type="page"/>
      </w:r>
    </w:p>
    <w:p w14:paraId="1DC1F6E3">
      <w:pPr>
        <w:pStyle w:val="39"/>
      </w:pPr>
      <w:bookmarkStart w:id="68" w:name="_Toc11901"/>
      <w:bookmarkStart w:id="69" w:name="_Toc30899"/>
      <w:r>
        <w:rPr>
          <w:rFonts w:hint="eastAsia"/>
        </w:rPr>
        <w:t>第六章  广安市人民医院供应商黑名单管理办法</w:t>
      </w:r>
      <w:bookmarkEnd w:id="68"/>
      <w:bookmarkEnd w:id="69"/>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1">
    <w:nsid w:val="78FD37F3"/>
    <w:multiLevelType w:val="singleLevel"/>
    <w:tmpl w:val="78FD37F3"/>
    <w:lvl w:ilvl="0" w:tentative="0">
      <w:start w:val="16"/>
      <w:numFmt w:val="decimal"/>
      <w:suff w:val="space"/>
      <w:lvlText w:val="%1."/>
      <w:lvlJc w:val="left"/>
    </w:lvl>
  </w:abstractNum>
  <w:num w:numId="1">
    <w:abstractNumId w:val="10"/>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2F0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316"/>
    <w:rsid w:val="002045AC"/>
    <w:rsid w:val="0020560B"/>
    <w:rsid w:val="002101E5"/>
    <w:rsid w:val="002108A7"/>
    <w:rsid w:val="002109DD"/>
    <w:rsid w:val="00210CD5"/>
    <w:rsid w:val="00210F20"/>
    <w:rsid w:val="00211224"/>
    <w:rsid w:val="00212B72"/>
    <w:rsid w:val="002132C5"/>
    <w:rsid w:val="002136AE"/>
    <w:rsid w:val="00213CD2"/>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69B"/>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646"/>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58A2"/>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3D"/>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4BDB"/>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9AD"/>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03E"/>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493"/>
    <w:rsid w:val="009E07BA"/>
    <w:rsid w:val="009E19FA"/>
    <w:rsid w:val="009E2E10"/>
    <w:rsid w:val="009E4383"/>
    <w:rsid w:val="009E4547"/>
    <w:rsid w:val="009E59AB"/>
    <w:rsid w:val="009E5A46"/>
    <w:rsid w:val="009E5C1E"/>
    <w:rsid w:val="009E6073"/>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6BE3"/>
    <w:rsid w:val="00A1022C"/>
    <w:rsid w:val="00A1341D"/>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05A3E"/>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2B38"/>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F19"/>
    <w:rsid w:val="00C31771"/>
    <w:rsid w:val="00C318B0"/>
    <w:rsid w:val="00C32555"/>
    <w:rsid w:val="00C32EEA"/>
    <w:rsid w:val="00C33304"/>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0BE4"/>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5BFE"/>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3476"/>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4EB3"/>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0FF97F53"/>
    <w:rsid w:val="111548C2"/>
    <w:rsid w:val="11207428"/>
    <w:rsid w:val="11437E33"/>
    <w:rsid w:val="118E6D12"/>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6F35FA"/>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1FCF4ADF"/>
    <w:rsid w:val="20910269"/>
    <w:rsid w:val="211300C4"/>
    <w:rsid w:val="22117EC4"/>
    <w:rsid w:val="24BB36A8"/>
    <w:rsid w:val="250B6931"/>
    <w:rsid w:val="25230F0E"/>
    <w:rsid w:val="25906293"/>
    <w:rsid w:val="267B7FC8"/>
    <w:rsid w:val="2761265F"/>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4350F7"/>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4243451"/>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1FA7928"/>
    <w:rsid w:val="420C765B"/>
    <w:rsid w:val="424A19F9"/>
    <w:rsid w:val="42965036"/>
    <w:rsid w:val="42A136C8"/>
    <w:rsid w:val="43385DE0"/>
    <w:rsid w:val="434A65F1"/>
    <w:rsid w:val="44062295"/>
    <w:rsid w:val="441F2254"/>
    <w:rsid w:val="45571614"/>
    <w:rsid w:val="45713F3C"/>
    <w:rsid w:val="466153D1"/>
    <w:rsid w:val="4669507C"/>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A803F8"/>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4F277F"/>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0F3AA8"/>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A04D96"/>
    <w:rsid w:val="78B45B14"/>
    <w:rsid w:val="79407EB0"/>
    <w:rsid w:val="795146B6"/>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CFB0C7B"/>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E4FF5-7615-480C-A96E-178CA2A1B0B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9467</Words>
  <Characters>9910</Characters>
  <Lines>159</Lines>
  <Paragraphs>44</Paragraphs>
  <TotalTime>3</TotalTime>
  <ScaleCrop>false</ScaleCrop>
  <LinksUpToDate>false</LinksUpToDate>
  <CharactersWithSpaces>10139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2024-10-10T01:26:00Z</dcterms:created>
  <dc:creator>Legend User</dc:creator>
  <cp:lastModifiedBy>胡桃</cp:lastModifiedBy>
  <cp:lastPrinted>2025-11-17T02:58:00Z</cp:lastPrinted>
  <dcterms:modified xsi:type="dcterms:W3CDTF">2025-11-17T08:37:21Z</dcterms:modified>
  <dc:title>第一章</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8877E984EA18443DA89798B033C55EE9_13</vt:lpwstr>
  </property>
  <property fmtid="{D5CDD505-2E9C-101B-9397-08002B2CF9AE}" pid="4" name="KSOTemplateDocerSaveRecord">
    <vt:lpwstr>eyJoZGlkIjoiOGFkYmYxZTQwODIwNWFmNzM5MDE0ZWUyNDYyMDdhMjAiLCJ1c2VySWQiOiIxNzYxODEzMTM1In0=</vt:lpwstr>
  </property>
</Properties>
</file>