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一次性无菌可控单侧支气管封堵导管、一次性使用连接管</w:t>
      </w:r>
      <w:r>
        <w:rPr>
          <w:rFonts w:hint="eastAsia" w:ascii="华文中宋" w:hAnsi="华文中宋" w:eastAsia="华文中宋"/>
          <w:b/>
          <w:color w:val="auto"/>
          <w:sz w:val="44"/>
          <w:szCs w:val="44"/>
          <w:lang w:eastAsia="zh-CN"/>
        </w:rPr>
        <w:t>等耗材</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7"/>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lang w:val="en-US" w:eastAsia="zh-CN"/>
        </w:rPr>
        <w:t>0514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2</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12</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39"/>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一次性无菌可控单侧支气管封堵导管、一次性使用连接管等耗材</w:t>
      </w:r>
      <w:r>
        <w:rPr>
          <w:rFonts w:hint="eastAsia" w:ascii="宋体" w:hAnsi="宋体"/>
          <w:b/>
          <w:bCs/>
          <w:color w:val="auto"/>
          <w:sz w:val="24"/>
        </w:rPr>
        <w:t>采购项目</w:t>
      </w:r>
    </w:p>
    <w:p w14:paraId="5CCC3C37">
      <w:pPr>
        <w:spacing w:line="360" w:lineRule="auto"/>
        <w:rPr>
          <w:rFonts w:hint="eastAsia" w:ascii="宋体" w:hAnsi="宋体" w:eastAsia="宋体"/>
          <w:b/>
          <w:bCs/>
          <w:color w:val="auto"/>
          <w:sz w:val="24"/>
          <w:lang w:eastAsia="zh-CN"/>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lang w:val="en-US" w:eastAsia="zh-CN"/>
        </w:rPr>
        <w:t>0514</w:t>
      </w:r>
      <w:r>
        <w:rPr>
          <w:rFonts w:ascii="宋体" w:hAnsi="宋体"/>
          <w:b/>
          <w:bCs/>
          <w:color w:val="auto"/>
          <w:sz w:val="24"/>
        </w:rPr>
        <w:t>-0</w:t>
      </w:r>
      <w:r>
        <w:rPr>
          <w:rFonts w:hint="eastAsia" w:ascii="宋体" w:hAnsi="宋体"/>
          <w:b/>
          <w:bCs/>
          <w:color w:val="auto"/>
          <w:sz w:val="24"/>
          <w:lang w:val="en-US" w:eastAsia="zh-CN"/>
        </w:rPr>
        <w:t>2</w:t>
      </w:r>
    </w:p>
    <w:p w14:paraId="10798944">
      <w:pPr>
        <w:spacing w:line="360" w:lineRule="auto"/>
        <w:rPr>
          <w:rFonts w:ascii="宋体" w:hAnsi="宋体"/>
          <w:b/>
          <w:bCs/>
          <w:color w:val="auto"/>
          <w:sz w:val="24"/>
        </w:rPr>
      </w:pPr>
      <w:r>
        <w:rPr>
          <w:rFonts w:hint="eastAsia" w:ascii="宋体" w:hAnsi="宋体"/>
          <w:b/>
          <w:bCs/>
          <w:color w:val="auto"/>
          <w:sz w:val="24"/>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3</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151"/>
        <w:gridCol w:w="1786"/>
        <w:gridCol w:w="709"/>
        <w:gridCol w:w="982"/>
        <w:gridCol w:w="1011"/>
        <w:gridCol w:w="872"/>
        <w:gridCol w:w="1106"/>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59E909D4">
            <w:pPr>
              <w:jc w:val="center"/>
              <w:rPr>
                <w:rFonts w:ascii="宋体" w:hAnsi="宋体"/>
                <w:color w:val="auto"/>
                <w:sz w:val="24"/>
              </w:rPr>
            </w:pPr>
            <w:r>
              <w:rPr>
                <w:rFonts w:hint="eastAsia" w:ascii="宋体" w:hAnsi="宋体"/>
                <w:color w:val="auto"/>
                <w:sz w:val="24"/>
              </w:rPr>
              <w:t>包号</w:t>
            </w:r>
          </w:p>
        </w:tc>
        <w:tc>
          <w:tcPr>
            <w:tcW w:w="464" w:type="pct"/>
            <w:vAlign w:val="center"/>
          </w:tcPr>
          <w:p w14:paraId="5F15447E">
            <w:pPr>
              <w:jc w:val="center"/>
              <w:rPr>
                <w:rFonts w:ascii="宋体" w:hAnsi="宋体"/>
                <w:color w:val="auto"/>
                <w:sz w:val="24"/>
              </w:rPr>
            </w:pPr>
            <w:r>
              <w:rPr>
                <w:rFonts w:ascii="宋体" w:hAnsi="宋体"/>
                <w:color w:val="auto"/>
                <w:sz w:val="24"/>
              </w:rPr>
              <w:t>品目号</w:t>
            </w:r>
          </w:p>
        </w:tc>
        <w:tc>
          <w:tcPr>
            <w:tcW w:w="1065" w:type="pct"/>
            <w:vAlign w:val="center"/>
          </w:tcPr>
          <w:p w14:paraId="30C14A74">
            <w:pPr>
              <w:jc w:val="center"/>
              <w:rPr>
                <w:rFonts w:ascii="宋体" w:hAnsi="宋体"/>
                <w:color w:val="auto"/>
                <w:sz w:val="24"/>
              </w:rPr>
            </w:pPr>
            <w:r>
              <w:rPr>
                <w:rFonts w:hint="eastAsia" w:ascii="宋体" w:hAnsi="宋体"/>
                <w:color w:val="auto"/>
                <w:sz w:val="24"/>
              </w:rPr>
              <w:t>项目名称</w:t>
            </w:r>
          </w:p>
        </w:tc>
        <w:tc>
          <w:tcPr>
            <w:tcW w:w="884" w:type="pct"/>
            <w:vAlign w:val="center"/>
          </w:tcPr>
          <w:p w14:paraId="18E8845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51" w:type="pct"/>
            <w:vAlign w:val="center"/>
          </w:tcPr>
          <w:p w14:paraId="5E17C8BA">
            <w:pPr>
              <w:jc w:val="center"/>
              <w:rPr>
                <w:rFonts w:ascii="宋体" w:hAnsi="宋体"/>
                <w:color w:val="auto"/>
                <w:sz w:val="24"/>
              </w:rPr>
            </w:pPr>
            <w:r>
              <w:rPr>
                <w:rFonts w:hint="eastAsia" w:ascii="宋体" w:hAnsi="宋体"/>
                <w:color w:val="auto"/>
                <w:sz w:val="24"/>
              </w:rPr>
              <w:t>单位</w:t>
            </w:r>
          </w:p>
        </w:tc>
        <w:tc>
          <w:tcPr>
            <w:tcW w:w="486" w:type="pct"/>
            <w:vAlign w:val="center"/>
          </w:tcPr>
          <w:p w14:paraId="7B5C09C8">
            <w:pPr>
              <w:jc w:val="center"/>
              <w:rPr>
                <w:rFonts w:ascii="宋体" w:hAnsi="宋体"/>
                <w:color w:val="auto"/>
                <w:sz w:val="24"/>
              </w:rPr>
            </w:pPr>
            <w:r>
              <w:rPr>
                <w:rFonts w:hint="eastAsia" w:ascii="宋体" w:hAnsi="宋体"/>
                <w:color w:val="auto"/>
                <w:sz w:val="24"/>
              </w:rPr>
              <w:t>预算单价</w:t>
            </w:r>
          </w:p>
          <w:p w14:paraId="66D5B2AE">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500" w:type="pct"/>
            <w:vAlign w:val="center"/>
          </w:tcPr>
          <w:p w14:paraId="2D9CEC68">
            <w:pPr>
              <w:jc w:val="center"/>
              <w:rPr>
                <w:rFonts w:ascii="宋体" w:hAnsi="宋体"/>
                <w:color w:val="auto"/>
                <w:sz w:val="24"/>
              </w:rPr>
            </w:pPr>
            <w:r>
              <w:rPr>
                <w:rFonts w:hint="eastAsia" w:ascii="宋体" w:hAnsi="宋体"/>
                <w:color w:val="auto"/>
                <w:sz w:val="24"/>
              </w:rPr>
              <w:t>最高限价（元）</w:t>
            </w:r>
          </w:p>
        </w:tc>
        <w:tc>
          <w:tcPr>
            <w:tcW w:w="431" w:type="pct"/>
            <w:vAlign w:val="center"/>
          </w:tcPr>
          <w:p w14:paraId="7434429F">
            <w:pPr>
              <w:jc w:val="center"/>
              <w:rPr>
                <w:rFonts w:ascii="宋体" w:hAnsi="宋体"/>
                <w:color w:val="auto"/>
                <w:sz w:val="24"/>
              </w:rPr>
            </w:pPr>
            <w:r>
              <w:rPr>
                <w:rFonts w:hint="eastAsia" w:ascii="宋体" w:hAnsi="宋体"/>
                <w:color w:val="auto"/>
                <w:sz w:val="24"/>
              </w:rPr>
              <w:t>是否挂网</w:t>
            </w:r>
          </w:p>
        </w:tc>
        <w:tc>
          <w:tcPr>
            <w:tcW w:w="547" w:type="pct"/>
            <w:vAlign w:val="center"/>
          </w:tcPr>
          <w:p w14:paraId="10F6F1BF">
            <w:pPr>
              <w:jc w:val="center"/>
              <w:rPr>
                <w:rFonts w:ascii="宋体" w:hAnsi="宋体"/>
                <w:color w:val="auto"/>
                <w:sz w:val="24"/>
              </w:rPr>
            </w:pPr>
            <w:r>
              <w:rPr>
                <w:rFonts w:hint="eastAsia" w:ascii="宋体" w:hAnsi="宋体"/>
                <w:color w:val="auto"/>
                <w:sz w:val="24"/>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Align w:val="center"/>
          </w:tcPr>
          <w:p w14:paraId="0ED9A89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464" w:type="pct"/>
            <w:vAlign w:val="center"/>
          </w:tcPr>
          <w:p w14:paraId="2C2AB12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01-01</w:t>
            </w:r>
          </w:p>
        </w:tc>
        <w:tc>
          <w:tcPr>
            <w:tcW w:w="1065"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一次性无菌可控单侧支气管封堵导管</w:t>
            </w:r>
          </w:p>
        </w:tc>
        <w:tc>
          <w:tcPr>
            <w:tcW w:w="884" w:type="pct"/>
            <w:shd w:val="clear" w:color="auto" w:fill="auto"/>
            <w:vAlign w:val="center"/>
          </w:tcPr>
          <w:p w14:paraId="3AF6624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8.0#</w:t>
            </w:r>
          </w:p>
        </w:tc>
        <w:tc>
          <w:tcPr>
            <w:tcW w:w="351"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支</w:t>
            </w:r>
          </w:p>
        </w:tc>
        <w:tc>
          <w:tcPr>
            <w:tcW w:w="486" w:type="pct"/>
            <w:shd w:val="clear" w:color="auto" w:fill="auto"/>
            <w:vAlign w:val="center"/>
          </w:tcPr>
          <w:p w14:paraId="2619BB1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500" w:type="pct"/>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431" w:type="pct"/>
            <w:vAlign w:val="center"/>
          </w:tcPr>
          <w:p w14:paraId="0C301E3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66F8F8D2">
            <w:pPr>
              <w:jc w:val="center"/>
              <w:rPr>
                <w:rFonts w:hint="eastAsia" w:ascii="宋体" w:hAnsi="宋体" w:eastAsia="宋体" w:cs="宋体"/>
                <w:color w:val="auto"/>
                <w:sz w:val="24"/>
                <w:lang w:eastAsia="zh-CN"/>
              </w:rPr>
            </w:pPr>
            <w:r>
              <w:rPr>
                <w:rFonts w:hint="eastAsia" w:ascii="宋体" w:hAnsi="宋体" w:cs="宋体"/>
                <w:color w:val="auto"/>
                <w:sz w:val="24"/>
                <w:lang w:eastAsia="zh-CN"/>
              </w:rPr>
              <w:t>麻醉科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407BE1E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p>
        </w:tc>
        <w:tc>
          <w:tcPr>
            <w:tcW w:w="464" w:type="pct"/>
            <w:shd w:val="clear" w:color="auto" w:fill="auto"/>
            <w:vAlign w:val="center"/>
          </w:tcPr>
          <w:p w14:paraId="1B25343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-01</w:t>
            </w:r>
          </w:p>
        </w:tc>
        <w:tc>
          <w:tcPr>
            <w:tcW w:w="1065"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一次性使用连接管</w:t>
            </w:r>
          </w:p>
        </w:tc>
        <w:tc>
          <w:tcPr>
            <w:tcW w:w="884" w:type="pct"/>
            <w:shd w:val="clear" w:color="auto" w:fill="auto"/>
            <w:vAlign w:val="center"/>
          </w:tcPr>
          <w:p w14:paraId="61B8A35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三通连接管（TWL）</w:t>
            </w:r>
          </w:p>
        </w:tc>
        <w:tc>
          <w:tcPr>
            <w:tcW w:w="351"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86" w:type="pct"/>
            <w:shd w:val="clear" w:color="auto" w:fill="auto"/>
            <w:vAlign w:val="center"/>
          </w:tcPr>
          <w:p w14:paraId="04EF449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500"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431" w:type="pct"/>
            <w:vAlign w:val="center"/>
          </w:tcPr>
          <w:p w14:paraId="5FE4BFE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295FAC40">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ICU</w:t>
            </w:r>
          </w:p>
        </w:tc>
      </w:tr>
      <w:tr w14:paraId="3BEA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38730245">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tc>
        <w:tc>
          <w:tcPr>
            <w:tcW w:w="464" w:type="pct"/>
            <w:shd w:val="clear" w:color="auto" w:fill="auto"/>
            <w:vAlign w:val="center"/>
          </w:tcPr>
          <w:p w14:paraId="2E6A51E1">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p>
        </w:tc>
        <w:tc>
          <w:tcPr>
            <w:tcW w:w="1065" w:type="pct"/>
            <w:shd w:val="clear" w:color="auto" w:fill="auto"/>
            <w:vAlign w:val="center"/>
          </w:tcPr>
          <w:p w14:paraId="3E3105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曲霉菌属、新型隐球菌及耶氏肺孢子菌核酸检测试剂盒(PCR 荧光探针法)</w:t>
            </w:r>
          </w:p>
        </w:tc>
        <w:tc>
          <w:tcPr>
            <w:tcW w:w="884" w:type="pct"/>
            <w:shd w:val="clear" w:color="auto" w:fill="auto"/>
            <w:vAlign w:val="center"/>
          </w:tcPr>
          <w:p w14:paraId="0FC805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48人份/盒</w:t>
            </w:r>
          </w:p>
        </w:tc>
        <w:tc>
          <w:tcPr>
            <w:tcW w:w="351" w:type="pct"/>
            <w:shd w:val="clear" w:color="auto" w:fill="auto"/>
            <w:vAlign w:val="center"/>
          </w:tcPr>
          <w:p w14:paraId="6BDAB0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人份</w:t>
            </w:r>
          </w:p>
        </w:tc>
        <w:tc>
          <w:tcPr>
            <w:tcW w:w="486" w:type="pct"/>
            <w:shd w:val="clear" w:color="auto" w:fill="auto"/>
            <w:vAlign w:val="center"/>
          </w:tcPr>
          <w:p w14:paraId="6D8E36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107.6</w:t>
            </w:r>
          </w:p>
        </w:tc>
        <w:tc>
          <w:tcPr>
            <w:tcW w:w="500" w:type="pct"/>
            <w:shd w:val="clear" w:color="auto" w:fill="auto"/>
            <w:vAlign w:val="center"/>
          </w:tcPr>
          <w:p w14:paraId="60CE3C0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94.21</w:t>
            </w:r>
          </w:p>
        </w:tc>
        <w:tc>
          <w:tcPr>
            <w:tcW w:w="431" w:type="pct"/>
            <w:vAlign w:val="center"/>
          </w:tcPr>
          <w:p w14:paraId="4DDB943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7" w:type="pct"/>
            <w:vAlign w:val="center"/>
          </w:tcPr>
          <w:p w14:paraId="5371295A">
            <w:pPr>
              <w:jc w:val="center"/>
              <w:rPr>
                <w:rFonts w:hint="eastAsia" w:ascii="宋体" w:hAnsi="宋体" w:cs="宋体"/>
                <w:color w:val="auto"/>
                <w:sz w:val="24"/>
                <w:lang w:eastAsia="zh-CN"/>
              </w:rPr>
            </w:pPr>
            <w:r>
              <w:rPr>
                <w:rFonts w:hint="eastAsia" w:ascii="宋体" w:hAnsi="宋体" w:cs="宋体"/>
                <w:color w:val="auto"/>
                <w:sz w:val="24"/>
                <w:lang w:eastAsia="zh-CN"/>
              </w:rPr>
              <w:t>实验医学科</w:t>
            </w:r>
          </w:p>
        </w:tc>
      </w:tr>
    </w:tbl>
    <w:p w14:paraId="0E6F7E33">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5</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7</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一次性无菌可控单侧支气管封堵导管、一次性使用连接管等耗材</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7"/>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7"/>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39"/>
        <w:rPr>
          <w:color w:val="auto"/>
        </w:rPr>
      </w:pPr>
      <w:r>
        <w:rPr>
          <w:rFonts w:ascii="宋体" w:hAnsi="宋体"/>
          <w:color w:val="auto"/>
          <w:sz w:val="24"/>
        </w:rPr>
        <w:br w:type="page"/>
      </w:r>
      <w:bookmarkStart w:id="16" w:name="_Toc146532506"/>
      <w:bookmarkStart w:id="17" w:name="_Toc134536603"/>
      <w:bookmarkStart w:id="18" w:name="_Toc150831011"/>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325028467"/>
      <w:bookmarkStart w:id="21" w:name="_Toc453578485"/>
      <w:bookmarkStart w:id="22" w:name="_Toc476736016"/>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00303160"/>
      <w:bookmarkStart w:id="27" w:name="_Toc280877425"/>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6175382"/>
      <w:bookmarkEnd w:id="30"/>
      <w:bookmarkStart w:id="31" w:name="_Toc297204985"/>
      <w:bookmarkEnd w:id="31"/>
      <w:bookmarkStart w:id="32" w:name="_Toc263753600"/>
      <w:bookmarkEnd w:id="32"/>
      <w:bookmarkStart w:id="33" w:name="_Toc250041691"/>
      <w:bookmarkEnd w:id="33"/>
      <w:bookmarkStart w:id="34" w:name="_Toc237145385"/>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2"/>
        <w:spacing w:line="500" w:lineRule="exact"/>
        <w:jc w:val="both"/>
        <w:rPr>
          <w:rFonts w:hAnsi="宋体"/>
          <w:b w:val="0"/>
          <w:color w:val="auto"/>
          <w:kern w:val="2"/>
          <w:sz w:val="21"/>
          <w:szCs w:val="21"/>
        </w:rPr>
      </w:pPr>
    </w:p>
    <w:bookmarkEnd w:id="43"/>
    <w:p w14:paraId="42E58F2B">
      <w:pPr>
        <w:pStyle w:val="132"/>
        <w:spacing w:line="500" w:lineRule="exact"/>
        <w:jc w:val="both"/>
        <w:rPr>
          <w:rFonts w:hAnsi="宋体"/>
          <w:b w:val="0"/>
          <w:color w:val="auto"/>
          <w:kern w:val="2"/>
          <w:sz w:val="21"/>
          <w:szCs w:val="21"/>
        </w:rPr>
      </w:pPr>
    </w:p>
    <w:p w14:paraId="1B83E74B">
      <w:pPr>
        <w:pStyle w:val="132"/>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39"/>
        <w:rPr>
          <w:color w:val="auto"/>
        </w:rPr>
      </w:pPr>
      <w:r>
        <w:rPr>
          <w:color w:val="auto"/>
        </w:rPr>
        <w:br w:type="page"/>
      </w:r>
      <w:bookmarkStart w:id="51" w:name="_Toc134536604"/>
      <w:r>
        <w:rPr>
          <w:rFonts w:hint="eastAsia"/>
          <w:color w:val="auto"/>
        </w:rPr>
        <w:t>第四章  采购需求</w:t>
      </w:r>
      <w:bookmarkEnd w:id="51"/>
    </w:p>
    <w:p w14:paraId="78801AD0">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rPr>
      </w:pPr>
      <w:r>
        <w:rPr>
          <w:rFonts w:hint="eastAsia"/>
          <w:b/>
          <w:color w:val="auto"/>
          <w:sz w:val="28"/>
          <w:szCs w:val="28"/>
        </w:rPr>
        <w:t>项目概况</w:t>
      </w:r>
    </w:p>
    <w:tbl>
      <w:tblPr>
        <w:tblStyle w:val="4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2303"/>
        <w:gridCol w:w="1290"/>
        <w:gridCol w:w="1064"/>
        <w:gridCol w:w="984"/>
        <w:gridCol w:w="1013"/>
        <w:gridCol w:w="874"/>
        <w:gridCol w:w="1109"/>
      </w:tblGrid>
      <w:tr w14:paraId="34D7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7" w:type="pct"/>
            <w:vAlign w:val="center"/>
          </w:tcPr>
          <w:p w14:paraId="2B25C421">
            <w:pPr>
              <w:jc w:val="center"/>
              <w:rPr>
                <w:rFonts w:ascii="宋体" w:hAnsi="宋体" w:eastAsia="宋体"/>
                <w:color w:val="auto"/>
                <w:sz w:val="24"/>
              </w:rPr>
            </w:pPr>
            <w:r>
              <w:rPr>
                <w:rFonts w:hint="eastAsia" w:ascii="宋体" w:hAnsi="宋体" w:eastAsia="宋体"/>
                <w:color w:val="auto"/>
                <w:sz w:val="24"/>
              </w:rPr>
              <w:t>包号</w:t>
            </w:r>
          </w:p>
        </w:tc>
        <w:tc>
          <w:tcPr>
            <w:tcW w:w="464" w:type="pct"/>
            <w:vAlign w:val="center"/>
          </w:tcPr>
          <w:p w14:paraId="0CC4900C">
            <w:pPr>
              <w:jc w:val="center"/>
              <w:rPr>
                <w:rFonts w:ascii="宋体" w:hAnsi="宋体" w:eastAsia="宋体"/>
                <w:color w:val="auto"/>
                <w:sz w:val="24"/>
              </w:rPr>
            </w:pPr>
            <w:r>
              <w:rPr>
                <w:rFonts w:ascii="宋体" w:hAnsi="宋体" w:eastAsia="宋体"/>
                <w:color w:val="auto"/>
                <w:sz w:val="24"/>
              </w:rPr>
              <w:t>品目号</w:t>
            </w:r>
          </w:p>
        </w:tc>
        <w:tc>
          <w:tcPr>
            <w:tcW w:w="1138" w:type="pct"/>
            <w:vAlign w:val="center"/>
          </w:tcPr>
          <w:p w14:paraId="586586DF">
            <w:pPr>
              <w:jc w:val="center"/>
              <w:rPr>
                <w:rFonts w:ascii="宋体" w:hAnsi="宋体" w:eastAsia="宋体"/>
                <w:color w:val="auto"/>
                <w:sz w:val="24"/>
              </w:rPr>
            </w:pPr>
            <w:r>
              <w:rPr>
                <w:rFonts w:hint="eastAsia" w:ascii="宋体" w:hAnsi="宋体" w:eastAsia="宋体"/>
                <w:color w:val="auto"/>
                <w:sz w:val="24"/>
              </w:rPr>
              <w:t>项目名称</w:t>
            </w:r>
          </w:p>
        </w:tc>
        <w:tc>
          <w:tcPr>
            <w:tcW w:w="637" w:type="pct"/>
            <w:vAlign w:val="center"/>
          </w:tcPr>
          <w:p w14:paraId="3961B92E">
            <w:pPr>
              <w:jc w:val="center"/>
              <w:rPr>
                <w:rFonts w:ascii="宋体" w:hAnsi="宋体" w:eastAsia="宋体"/>
                <w:color w:val="auto"/>
                <w:sz w:val="24"/>
              </w:rPr>
            </w:pPr>
            <w:r>
              <w:rPr>
                <w:rFonts w:hint="eastAsia" w:ascii="宋体" w:hAnsi="宋体" w:eastAsia="宋体"/>
                <w:color w:val="auto"/>
                <w:sz w:val="24"/>
              </w:rPr>
              <w:t>参考规格</w:t>
            </w:r>
            <w:r>
              <w:rPr>
                <w:rFonts w:ascii="宋体" w:hAnsi="宋体" w:eastAsia="宋体"/>
                <w:color w:val="auto"/>
                <w:sz w:val="24"/>
              </w:rPr>
              <w:t>型号</w:t>
            </w:r>
          </w:p>
        </w:tc>
        <w:tc>
          <w:tcPr>
            <w:tcW w:w="525" w:type="pct"/>
            <w:vAlign w:val="center"/>
          </w:tcPr>
          <w:p w14:paraId="2354BBA9">
            <w:pPr>
              <w:jc w:val="center"/>
              <w:rPr>
                <w:rFonts w:ascii="宋体" w:hAnsi="宋体" w:eastAsia="宋体"/>
                <w:color w:val="auto"/>
                <w:sz w:val="24"/>
              </w:rPr>
            </w:pPr>
            <w:r>
              <w:rPr>
                <w:rFonts w:hint="eastAsia" w:ascii="宋体" w:hAnsi="宋体" w:eastAsia="宋体"/>
                <w:color w:val="auto"/>
                <w:sz w:val="24"/>
              </w:rPr>
              <w:t>单位</w:t>
            </w:r>
          </w:p>
        </w:tc>
        <w:tc>
          <w:tcPr>
            <w:tcW w:w="486" w:type="pct"/>
            <w:vAlign w:val="center"/>
          </w:tcPr>
          <w:p w14:paraId="757C043F">
            <w:pPr>
              <w:jc w:val="center"/>
              <w:rPr>
                <w:rFonts w:ascii="宋体" w:hAnsi="宋体" w:eastAsia="宋体"/>
                <w:color w:val="auto"/>
                <w:sz w:val="24"/>
              </w:rPr>
            </w:pPr>
            <w:r>
              <w:rPr>
                <w:rFonts w:hint="eastAsia" w:ascii="宋体" w:hAnsi="宋体" w:eastAsia="宋体"/>
                <w:color w:val="auto"/>
                <w:sz w:val="24"/>
              </w:rPr>
              <w:t>预算单价</w:t>
            </w:r>
          </w:p>
          <w:p w14:paraId="03742CA9">
            <w:pPr>
              <w:jc w:val="center"/>
              <w:rPr>
                <w:rFonts w:ascii="宋体" w:hAnsi="宋体" w:eastAsia="宋体"/>
                <w:color w:val="auto"/>
                <w:sz w:val="24"/>
              </w:rPr>
            </w:pPr>
            <w:r>
              <w:rPr>
                <w:rFonts w:ascii="宋体" w:hAnsi="宋体" w:eastAsia="宋体"/>
                <w:color w:val="auto"/>
                <w:sz w:val="24"/>
              </w:rPr>
              <w:t>（</w:t>
            </w:r>
            <w:r>
              <w:rPr>
                <w:rFonts w:hint="eastAsia" w:ascii="宋体" w:hAnsi="宋体" w:eastAsia="宋体"/>
                <w:color w:val="auto"/>
                <w:sz w:val="24"/>
              </w:rPr>
              <w:t>元</w:t>
            </w:r>
            <w:r>
              <w:rPr>
                <w:rFonts w:ascii="宋体" w:hAnsi="宋体" w:eastAsia="宋体"/>
                <w:color w:val="auto"/>
                <w:sz w:val="24"/>
              </w:rPr>
              <w:t>）</w:t>
            </w:r>
          </w:p>
        </w:tc>
        <w:tc>
          <w:tcPr>
            <w:tcW w:w="500" w:type="pct"/>
            <w:vAlign w:val="center"/>
          </w:tcPr>
          <w:p w14:paraId="3D763F8F">
            <w:pPr>
              <w:jc w:val="center"/>
              <w:rPr>
                <w:rFonts w:ascii="宋体" w:hAnsi="宋体" w:eastAsia="宋体"/>
                <w:color w:val="auto"/>
                <w:sz w:val="24"/>
              </w:rPr>
            </w:pPr>
            <w:r>
              <w:rPr>
                <w:rFonts w:hint="eastAsia" w:ascii="宋体" w:hAnsi="宋体" w:eastAsia="宋体"/>
                <w:color w:val="auto"/>
                <w:sz w:val="24"/>
              </w:rPr>
              <w:t>最高限价（元）</w:t>
            </w:r>
          </w:p>
        </w:tc>
        <w:tc>
          <w:tcPr>
            <w:tcW w:w="431" w:type="pct"/>
            <w:vAlign w:val="center"/>
          </w:tcPr>
          <w:p w14:paraId="354D6BCA">
            <w:pPr>
              <w:jc w:val="center"/>
              <w:rPr>
                <w:rFonts w:ascii="宋体" w:hAnsi="宋体" w:eastAsia="宋体"/>
                <w:color w:val="auto"/>
                <w:sz w:val="24"/>
              </w:rPr>
            </w:pPr>
            <w:r>
              <w:rPr>
                <w:rFonts w:hint="eastAsia" w:ascii="宋体" w:hAnsi="宋体" w:eastAsia="宋体"/>
                <w:color w:val="auto"/>
                <w:sz w:val="24"/>
              </w:rPr>
              <w:t>是否挂网</w:t>
            </w:r>
          </w:p>
        </w:tc>
        <w:tc>
          <w:tcPr>
            <w:tcW w:w="548" w:type="pct"/>
            <w:vAlign w:val="center"/>
          </w:tcPr>
          <w:p w14:paraId="5F00B93A">
            <w:pPr>
              <w:jc w:val="center"/>
              <w:rPr>
                <w:rFonts w:ascii="宋体" w:hAnsi="宋体" w:eastAsia="宋体"/>
                <w:color w:val="auto"/>
                <w:sz w:val="24"/>
              </w:rPr>
            </w:pPr>
            <w:r>
              <w:rPr>
                <w:rFonts w:hint="eastAsia" w:ascii="宋体" w:hAnsi="宋体" w:eastAsia="宋体"/>
                <w:color w:val="auto"/>
                <w:sz w:val="24"/>
              </w:rPr>
              <w:t>申请科室</w:t>
            </w:r>
          </w:p>
        </w:tc>
      </w:tr>
      <w:tr w14:paraId="1716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vAlign w:val="center"/>
          </w:tcPr>
          <w:p w14:paraId="28896F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464" w:type="pct"/>
            <w:vAlign w:val="center"/>
          </w:tcPr>
          <w:p w14:paraId="4FA05A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01-01</w:t>
            </w:r>
          </w:p>
        </w:tc>
        <w:tc>
          <w:tcPr>
            <w:tcW w:w="1138" w:type="pct"/>
            <w:shd w:val="clear" w:color="auto" w:fill="auto"/>
            <w:vAlign w:val="center"/>
          </w:tcPr>
          <w:p w14:paraId="07C8636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一次性无菌可控单侧支气管封堵导管</w:t>
            </w:r>
          </w:p>
        </w:tc>
        <w:tc>
          <w:tcPr>
            <w:tcW w:w="637" w:type="pct"/>
            <w:shd w:val="clear" w:color="auto" w:fill="auto"/>
            <w:vAlign w:val="center"/>
          </w:tcPr>
          <w:p w14:paraId="61DBECE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8.0#</w:t>
            </w:r>
          </w:p>
        </w:tc>
        <w:tc>
          <w:tcPr>
            <w:tcW w:w="525" w:type="pct"/>
            <w:shd w:val="clear" w:color="auto" w:fill="auto"/>
            <w:vAlign w:val="center"/>
          </w:tcPr>
          <w:p w14:paraId="08517EA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支</w:t>
            </w:r>
          </w:p>
        </w:tc>
        <w:tc>
          <w:tcPr>
            <w:tcW w:w="486" w:type="pct"/>
            <w:shd w:val="clear" w:color="auto" w:fill="auto"/>
            <w:vAlign w:val="center"/>
          </w:tcPr>
          <w:p w14:paraId="4F67F58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500" w:type="pct"/>
            <w:shd w:val="clear" w:color="auto" w:fill="auto"/>
            <w:vAlign w:val="center"/>
          </w:tcPr>
          <w:p w14:paraId="4E22A3D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700</w:t>
            </w:r>
          </w:p>
        </w:tc>
        <w:tc>
          <w:tcPr>
            <w:tcW w:w="431" w:type="pct"/>
            <w:vAlign w:val="center"/>
          </w:tcPr>
          <w:p w14:paraId="76F824A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0C89FA25">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麻醉科</w:t>
            </w:r>
          </w:p>
        </w:tc>
      </w:tr>
      <w:tr w14:paraId="28C5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01B9F3C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p>
        </w:tc>
        <w:tc>
          <w:tcPr>
            <w:tcW w:w="464" w:type="pct"/>
            <w:shd w:val="clear" w:color="auto" w:fill="auto"/>
            <w:vAlign w:val="center"/>
          </w:tcPr>
          <w:p w14:paraId="7803AA0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-01</w:t>
            </w:r>
          </w:p>
        </w:tc>
        <w:tc>
          <w:tcPr>
            <w:tcW w:w="1138" w:type="pct"/>
            <w:shd w:val="clear" w:color="auto" w:fill="auto"/>
            <w:vAlign w:val="center"/>
          </w:tcPr>
          <w:p w14:paraId="2080EB4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一次性使用连接管</w:t>
            </w:r>
          </w:p>
        </w:tc>
        <w:tc>
          <w:tcPr>
            <w:tcW w:w="637" w:type="pct"/>
            <w:shd w:val="clear" w:color="auto" w:fill="auto"/>
            <w:vAlign w:val="center"/>
          </w:tcPr>
          <w:p w14:paraId="122B275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三通连接管（TWL）</w:t>
            </w:r>
          </w:p>
        </w:tc>
        <w:tc>
          <w:tcPr>
            <w:tcW w:w="525" w:type="pct"/>
            <w:shd w:val="clear" w:color="auto" w:fill="auto"/>
            <w:vAlign w:val="center"/>
          </w:tcPr>
          <w:p w14:paraId="5A2C5B5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486" w:type="pct"/>
            <w:shd w:val="clear" w:color="auto" w:fill="auto"/>
            <w:vAlign w:val="center"/>
          </w:tcPr>
          <w:p w14:paraId="75A56BD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500" w:type="pct"/>
            <w:shd w:val="clear" w:color="auto" w:fill="auto"/>
            <w:vAlign w:val="center"/>
          </w:tcPr>
          <w:p w14:paraId="66B8EC52">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4.8</w:t>
            </w:r>
          </w:p>
        </w:tc>
        <w:tc>
          <w:tcPr>
            <w:tcW w:w="431" w:type="pct"/>
            <w:vAlign w:val="center"/>
          </w:tcPr>
          <w:p w14:paraId="24FC27E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717AE227">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ICU</w:t>
            </w:r>
          </w:p>
        </w:tc>
      </w:tr>
      <w:tr w14:paraId="2B4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7" w:type="pct"/>
            <w:shd w:val="clear" w:color="auto" w:fill="auto"/>
            <w:vAlign w:val="center"/>
          </w:tcPr>
          <w:p w14:paraId="6F3FB2CD">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tc>
        <w:tc>
          <w:tcPr>
            <w:tcW w:w="464" w:type="pct"/>
            <w:shd w:val="clear" w:color="auto" w:fill="auto"/>
            <w:vAlign w:val="center"/>
          </w:tcPr>
          <w:p w14:paraId="076DD459">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w:t>
            </w:r>
          </w:p>
        </w:tc>
        <w:tc>
          <w:tcPr>
            <w:tcW w:w="1138" w:type="pct"/>
            <w:shd w:val="clear" w:color="auto" w:fill="auto"/>
            <w:vAlign w:val="center"/>
          </w:tcPr>
          <w:p w14:paraId="291AF9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曲霉菌属、新型隐球菌及耶氏肺孢子菌核酸检测试剂盒(PCR 荧光探针法)</w:t>
            </w:r>
          </w:p>
        </w:tc>
        <w:tc>
          <w:tcPr>
            <w:tcW w:w="637" w:type="pct"/>
            <w:shd w:val="clear" w:color="auto" w:fill="auto"/>
            <w:vAlign w:val="center"/>
          </w:tcPr>
          <w:p w14:paraId="123BBB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48人份/盒</w:t>
            </w:r>
          </w:p>
        </w:tc>
        <w:tc>
          <w:tcPr>
            <w:tcW w:w="525" w:type="pct"/>
            <w:shd w:val="clear" w:color="auto" w:fill="auto"/>
            <w:vAlign w:val="center"/>
          </w:tcPr>
          <w:p w14:paraId="508C15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人份</w:t>
            </w:r>
          </w:p>
        </w:tc>
        <w:tc>
          <w:tcPr>
            <w:tcW w:w="486" w:type="pct"/>
            <w:shd w:val="clear" w:color="auto" w:fill="auto"/>
            <w:vAlign w:val="center"/>
          </w:tcPr>
          <w:p w14:paraId="3FC84B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107.6</w:t>
            </w:r>
          </w:p>
        </w:tc>
        <w:tc>
          <w:tcPr>
            <w:tcW w:w="500" w:type="pct"/>
            <w:shd w:val="clear" w:color="auto" w:fill="auto"/>
            <w:vAlign w:val="center"/>
          </w:tcPr>
          <w:p w14:paraId="0774C7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94.21</w:t>
            </w:r>
          </w:p>
        </w:tc>
        <w:tc>
          <w:tcPr>
            <w:tcW w:w="431" w:type="pct"/>
            <w:vAlign w:val="center"/>
          </w:tcPr>
          <w:p w14:paraId="3897B08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48" w:type="pct"/>
            <w:vAlign w:val="center"/>
          </w:tcPr>
          <w:p w14:paraId="7240611D">
            <w:pPr>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实验医学科</w:t>
            </w:r>
          </w:p>
        </w:tc>
      </w:tr>
    </w:tbl>
    <w:p w14:paraId="02AA5EED">
      <w:pPr>
        <w:pStyle w:val="148"/>
        <w:ind w:right="439"/>
        <w:rPr>
          <w:b/>
          <w:color w:val="auto"/>
          <w:sz w:val="28"/>
          <w:szCs w:val="28"/>
        </w:rPr>
      </w:pPr>
      <w:r>
        <w:rPr>
          <w:rFonts w:hint="eastAsia"/>
          <w:b/>
          <w:color w:val="auto"/>
          <w:sz w:val="28"/>
          <w:szCs w:val="28"/>
        </w:rPr>
        <w:t>★二、商务要求（实质性要求）</w:t>
      </w:r>
    </w:p>
    <w:p w14:paraId="40DD1118">
      <w:pPr>
        <w:pStyle w:val="17"/>
        <w:numPr>
          <w:ilvl w:val="0"/>
          <w:numId w:val="7"/>
        </w:numPr>
        <w:spacing w:before="241" w:beforeLines="50" w:after="241" w:afterLines="50" w:line="460" w:lineRule="exact"/>
        <w:rPr>
          <w:color w:val="auto"/>
        </w:rPr>
      </w:pPr>
      <w:r>
        <w:rPr>
          <w:rFonts w:hint="eastAsia"/>
          <w:color w:val="auto"/>
        </w:rPr>
        <w:t>交货期及地点</w:t>
      </w:r>
    </w:p>
    <w:p w14:paraId="0C04FB31">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7"/>
        <w:spacing w:before="241" w:beforeLines="50" w:after="241" w:afterLines="50" w:line="460" w:lineRule="exact"/>
        <w:rPr>
          <w:color w:val="auto"/>
        </w:rPr>
      </w:pPr>
      <w:r>
        <w:rPr>
          <w:rFonts w:hint="eastAsia"/>
          <w:color w:val="auto"/>
        </w:rPr>
        <w:t>2. 付款方式和条件</w:t>
      </w:r>
    </w:p>
    <w:p w14:paraId="727EB073">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rPr>
      </w:pPr>
      <w:r>
        <w:rPr>
          <w:rFonts w:hint="eastAsia"/>
          <w:color w:val="auto"/>
        </w:rPr>
        <w:t>验收</w:t>
      </w:r>
    </w:p>
    <w:p w14:paraId="4E7E29D4">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7"/>
        <w:spacing w:before="241" w:beforeLines="50" w:after="241" w:afterLines="50" w:line="460" w:lineRule="exact"/>
        <w:rPr>
          <w:color w:val="auto"/>
        </w:rPr>
      </w:pPr>
      <w:r>
        <w:rPr>
          <w:rFonts w:hint="eastAsia"/>
          <w:color w:val="auto"/>
        </w:rPr>
        <w:t>4. 违约责任：</w:t>
      </w:r>
    </w:p>
    <w:p w14:paraId="731FC0AA">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rPr>
      </w:pPr>
      <w:r>
        <w:rPr>
          <w:rFonts w:hint="eastAsia"/>
          <w:color w:val="auto"/>
        </w:rPr>
        <w:t>5.解决争议的方法：</w:t>
      </w:r>
    </w:p>
    <w:p w14:paraId="4B5A11D6">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rPr>
      </w:pPr>
      <w:r>
        <w:rPr>
          <w:rFonts w:hint="eastAsia"/>
          <w:color w:val="auto"/>
        </w:rPr>
        <w:t>6 其他要求：</w:t>
      </w:r>
    </w:p>
    <w:p w14:paraId="7E67954D">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17CA8A03">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1.用途：适用于需进行单肺隔离的开胸手术。</w:t>
      </w:r>
    </w:p>
    <w:p w14:paraId="152CD825">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2.直径包含但不仅限于7.5mm、8.0mm、9.0mm。</w:t>
      </w:r>
    </w:p>
    <w:p w14:paraId="778B5CCB">
      <w:pPr>
        <w:rPr>
          <w:rFonts w:hint="eastAsia" w:ascii="宋体" w:hAnsi="宋体"/>
          <w:color w:val="auto"/>
          <w:sz w:val="24"/>
          <w:lang w:eastAsia="zh-CN"/>
        </w:rPr>
      </w:pPr>
      <w:r>
        <w:rPr>
          <w:rFonts w:hint="eastAsia" w:ascii="宋体" w:hAnsi="宋体"/>
          <w:color w:val="auto"/>
          <w:sz w:val="24"/>
          <w:lang w:val="en-US" w:eastAsia="zh-CN"/>
        </w:rPr>
        <w:t>3.</w:t>
      </w:r>
      <w:r>
        <w:rPr>
          <w:rFonts w:hint="eastAsia" w:ascii="宋体" w:hAnsi="宋体"/>
          <w:color w:val="auto"/>
          <w:sz w:val="24"/>
        </w:rPr>
        <w:t>该产品可以有选择地封堵一个肺并向另外一个肺叶进行通气，也可以在手术完毕之后中止单肺封堵、回抽封堵导管而进行双肺通气</w:t>
      </w:r>
      <w:r>
        <w:rPr>
          <w:rFonts w:hint="eastAsia" w:ascii="宋体" w:hAnsi="宋体"/>
          <w:color w:val="auto"/>
          <w:sz w:val="24"/>
          <w:lang w:eastAsia="zh-CN"/>
        </w:rPr>
        <w:t>。</w:t>
      </w:r>
    </w:p>
    <w:p w14:paraId="3751A994">
      <w:pPr>
        <w:rPr>
          <w:rFonts w:hint="eastAsia" w:ascii="宋体" w:hAnsi="宋体"/>
          <w:color w:val="auto"/>
          <w:sz w:val="24"/>
          <w:lang w:eastAsia="zh-CN"/>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由柔性球囊和弹性管体</w:t>
      </w:r>
      <w:r>
        <w:rPr>
          <w:rFonts w:hint="eastAsia" w:ascii="宋体" w:hAnsi="宋体"/>
          <w:color w:val="auto"/>
          <w:sz w:val="24"/>
          <w:lang w:eastAsia="zh-CN"/>
        </w:rPr>
        <w:t>等</w:t>
      </w:r>
      <w:r>
        <w:rPr>
          <w:rFonts w:hint="eastAsia" w:ascii="宋体" w:hAnsi="宋体"/>
          <w:color w:val="auto"/>
          <w:sz w:val="24"/>
        </w:rPr>
        <w:t>组成，可以和病人的呼吸道直接连接</w:t>
      </w:r>
      <w:r>
        <w:rPr>
          <w:rFonts w:hint="eastAsia" w:ascii="宋体" w:hAnsi="宋体"/>
          <w:color w:val="auto"/>
          <w:sz w:val="24"/>
          <w:lang w:eastAsia="zh-CN"/>
        </w:rPr>
        <w:t>。</w:t>
      </w:r>
    </w:p>
    <w:p w14:paraId="36D27FB6">
      <w:pPr>
        <w:rPr>
          <w:rFonts w:hint="eastAsia" w:ascii="宋体" w:hAnsi="宋体"/>
          <w:color w:val="auto"/>
          <w:sz w:val="24"/>
          <w:lang w:val="en-US" w:eastAsia="zh-CN"/>
        </w:rPr>
      </w:pPr>
      <w:r>
        <w:rPr>
          <w:rFonts w:hint="eastAsia" w:ascii="宋体" w:hAnsi="宋体"/>
          <w:color w:val="auto"/>
          <w:sz w:val="24"/>
          <w:lang w:val="en-US" w:eastAsia="zh-CN"/>
        </w:rPr>
        <w:t>5.一次性使用，无菌包装。</w:t>
      </w:r>
    </w:p>
    <w:p w14:paraId="09400C48">
      <w:pPr>
        <w:rPr>
          <w:rFonts w:hint="eastAsia" w:ascii="宋体" w:hAnsi="宋体"/>
          <w:b/>
          <w:color w:val="auto"/>
          <w:sz w:val="24"/>
        </w:rPr>
      </w:pPr>
      <w:r>
        <w:rPr>
          <w:rFonts w:hint="eastAsia" w:ascii="宋体" w:hAnsi="宋体"/>
          <w:color w:val="auto"/>
          <w:sz w:val="24"/>
          <w:lang w:val="en-US" w:eastAsia="zh-CN"/>
        </w:rPr>
        <w:t>6.气管插管和管芯一体化结构</w:t>
      </w:r>
      <w:r>
        <w:rPr>
          <w:rFonts w:hint="eastAsia" w:ascii="宋体" w:hAnsi="宋体"/>
          <w:color w:val="auto"/>
          <w:sz w:val="24"/>
        </w:rPr>
        <w:t>。</w:t>
      </w:r>
    </w:p>
    <w:p w14:paraId="759B00B1">
      <w:pPr>
        <w:rPr>
          <w:rFonts w:hint="eastAsia" w:ascii="宋体" w:hAnsi="宋体"/>
          <w:b/>
          <w:color w:val="auto"/>
          <w:sz w:val="24"/>
        </w:rPr>
      </w:pPr>
    </w:p>
    <w:p w14:paraId="1BF4934E">
      <w:pPr>
        <w:rPr>
          <w:rFonts w:ascii="宋体" w:hAnsi="宋体"/>
          <w:b/>
          <w:color w:val="auto"/>
          <w:sz w:val="24"/>
        </w:rPr>
      </w:pP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w:t>
      </w:r>
      <w:r>
        <w:rPr>
          <w:rFonts w:hint="eastAsia" w:ascii="宋体" w:hAnsi="宋体"/>
          <w:b/>
          <w:color w:val="auto"/>
          <w:sz w:val="24"/>
          <w:lang w:val="en-US" w:eastAsia="zh-CN"/>
        </w:rPr>
        <w:t>1</w:t>
      </w:r>
      <w:r>
        <w:rPr>
          <w:rFonts w:hint="eastAsia" w:ascii="宋体" w:hAnsi="宋体"/>
          <w:b/>
          <w:color w:val="auto"/>
          <w:sz w:val="24"/>
        </w:rPr>
        <w:t>：</w:t>
      </w:r>
    </w:p>
    <w:p w14:paraId="708A611A">
      <w:pPr>
        <w:rPr>
          <w:rFonts w:hint="eastAsia" w:ascii="宋体" w:hAnsi="宋体"/>
          <w:color w:val="auto"/>
          <w:sz w:val="24"/>
        </w:rPr>
      </w:pPr>
      <w:r>
        <w:rPr>
          <w:rFonts w:hint="eastAsia" w:ascii="宋体" w:hAnsi="宋体"/>
          <w:color w:val="auto"/>
          <w:sz w:val="24"/>
        </w:rPr>
        <w:t>★1.适用于</w:t>
      </w:r>
      <w:r>
        <w:rPr>
          <w:rFonts w:hint="eastAsia" w:ascii="宋体" w:hAnsi="宋体"/>
          <w:color w:val="auto"/>
          <w:sz w:val="24"/>
          <w:lang w:val="en-US" w:eastAsia="zh-CN"/>
        </w:rPr>
        <w:t>临床静脉留置针输液延长输液接头使用</w:t>
      </w:r>
      <w:r>
        <w:rPr>
          <w:rFonts w:hint="eastAsia" w:ascii="宋体" w:hAnsi="宋体"/>
          <w:color w:val="auto"/>
          <w:sz w:val="24"/>
        </w:rPr>
        <w:t>。</w:t>
      </w:r>
    </w:p>
    <w:p w14:paraId="05251484">
      <w:pPr>
        <w:rPr>
          <w:rFonts w:hint="eastAsia" w:ascii="宋体" w:hAnsi="宋体"/>
          <w:color w:val="auto"/>
          <w:sz w:val="24"/>
          <w:lang w:val="en-US" w:eastAsia="zh-CN"/>
        </w:rPr>
      </w:pPr>
      <w:r>
        <w:rPr>
          <w:rFonts w:hint="eastAsia" w:ascii="宋体" w:hAnsi="宋体"/>
          <w:color w:val="auto"/>
          <w:sz w:val="24"/>
        </w:rPr>
        <w:t>▲2.产品结构:</w:t>
      </w:r>
      <w:r>
        <w:rPr>
          <w:rFonts w:hint="eastAsia" w:ascii="宋体" w:hAnsi="宋体"/>
          <w:color w:val="auto"/>
          <w:sz w:val="24"/>
          <w:lang w:val="en-US" w:eastAsia="zh-CN"/>
        </w:rPr>
        <w:t>PVC管、鲁尔接头、护帽、插片等组成。</w:t>
      </w:r>
    </w:p>
    <w:p w14:paraId="4D1B9FAB">
      <w:pPr>
        <w:rPr>
          <w:rFonts w:hint="eastAsia" w:ascii="宋体" w:hAnsi="宋体"/>
          <w:color w:val="auto"/>
          <w:sz w:val="24"/>
        </w:rPr>
      </w:pPr>
      <w:r>
        <w:rPr>
          <w:rFonts w:hint="eastAsia" w:ascii="宋体" w:hAnsi="宋体"/>
          <w:color w:val="auto"/>
          <w:sz w:val="24"/>
        </w:rPr>
        <w:t>▲3.包装方式：耗材每副独立</w:t>
      </w:r>
      <w:r>
        <w:rPr>
          <w:rFonts w:hint="eastAsia" w:ascii="宋体" w:hAnsi="宋体"/>
          <w:color w:val="auto"/>
          <w:sz w:val="24"/>
          <w:lang w:eastAsia="zh-CN"/>
        </w:rPr>
        <w:t>灭菌</w:t>
      </w:r>
      <w:r>
        <w:rPr>
          <w:rFonts w:hint="eastAsia" w:ascii="宋体" w:hAnsi="宋体"/>
          <w:color w:val="auto"/>
          <w:sz w:val="24"/>
        </w:rPr>
        <w:t>包装</w:t>
      </w:r>
      <w:r>
        <w:rPr>
          <w:rFonts w:hint="eastAsia" w:ascii="宋体" w:hAnsi="宋体"/>
          <w:color w:val="auto"/>
          <w:sz w:val="24"/>
          <w:lang w:eastAsia="zh-CN"/>
        </w:rPr>
        <w:t>。</w:t>
      </w:r>
    </w:p>
    <w:p w14:paraId="483E705B">
      <w:pPr>
        <w:rPr>
          <w:rFonts w:hint="eastAsia" w:ascii="宋体" w:hAnsi="宋体"/>
          <w:color w:val="auto"/>
          <w:sz w:val="24"/>
          <w:lang w:val="en-US" w:eastAsia="zh-CN"/>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.尺寸</w:t>
      </w:r>
      <w:r>
        <w:rPr>
          <w:rFonts w:hint="eastAsia" w:ascii="宋体" w:hAnsi="宋体"/>
          <w:color w:val="auto"/>
          <w:sz w:val="24"/>
          <w:lang w:eastAsia="zh-CN"/>
        </w:rPr>
        <w:t>：</w:t>
      </w:r>
      <w:r>
        <w:rPr>
          <w:rFonts w:hint="eastAsia" w:ascii="宋体" w:hAnsi="宋体"/>
          <w:color w:val="auto"/>
          <w:sz w:val="24"/>
          <w:lang w:val="en-US" w:eastAsia="zh-CN"/>
        </w:rPr>
        <w:t>内径2.6-2.7mm；长度：300-400mm。</w:t>
      </w:r>
    </w:p>
    <w:p w14:paraId="4EFA11BD">
      <w:pPr>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保质期</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年。</w:t>
      </w:r>
    </w:p>
    <w:p w14:paraId="03AB5858">
      <w:pPr>
        <w:rPr>
          <w:rFonts w:hint="eastAsia" w:ascii="宋体" w:hAnsi="宋体"/>
          <w:color w:val="auto"/>
          <w:sz w:val="24"/>
        </w:rPr>
      </w:pPr>
    </w:p>
    <w:p w14:paraId="6CF96644">
      <w:pPr>
        <w:rPr>
          <w:rFonts w:ascii="宋体" w:hAnsi="宋体"/>
          <w:b/>
          <w:color w:val="auto"/>
          <w:sz w:val="24"/>
        </w:rPr>
      </w:pPr>
      <w:r>
        <w:rPr>
          <w:rFonts w:hint="eastAsia" w:ascii="宋体" w:hAnsi="宋体"/>
          <w:b/>
          <w:color w:val="auto"/>
          <w:sz w:val="24"/>
        </w:rPr>
        <w:t>0</w:t>
      </w:r>
      <w:r>
        <w:rPr>
          <w:rFonts w:hint="eastAsia" w:ascii="宋体" w:hAnsi="宋体"/>
          <w:b/>
          <w:color w:val="auto"/>
          <w:sz w:val="24"/>
          <w:lang w:val="en-US" w:eastAsia="zh-CN"/>
        </w:rPr>
        <w:t>3</w:t>
      </w:r>
      <w:r>
        <w:rPr>
          <w:rFonts w:hint="eastAsia" w:ascii="宋体" w:hAnsi="宋体"/>
          <w:b/>
          <w:color w:val="auto"/>
          <w:sz w:val="24"/>
        </w:rPr>
        <w:t>-0</w:t>
      </w:r>
      <w:r>
        <w:rPr>
          <w:rFonts w:hint="eastAsia" w:ascii="宋体" w:hAnsi="宋体"/>
          <w:b/>
          <w:color w:val="auto"/>
          <w:sz w:val="24"/>
          <w:lang w:val="en-US" w:eastAsia="zh-CN"/>
        </w:rPr>
        <w:t>1</w:t>
      </w:r>
      <w:r>
        <w:rPr>
          <w:rFonts w:hint="eastAsia" w:ascii="宋体" w:hAnsi="宋体"/>
          <w:b/>
          <w:color w:val="auto"/>
          <w:sz w:val="24"/>
        </w:rPr>
        <w:t>：</w:t>
      </w:r>
    </w:p>
    <w:p w14:paraId="10497EE8">
      <w:pPr>
        <w:rPr>
          <w:rFonts w:hint="eastAsia" w:ascii="宋体" w:hAnsi="宋体"/>
          <w:b w:val="0"/>
          <w:bCs/>
          <w:color w:val="auto"/>
          <w:sz w:val="24"/>
          <w:lang w:eastAsia="zh-CN"/>
        </w:rPr>
      </w:pPr>
      <w:r>
        <w:rPr>
          <w:rFonts w:hint="eastAsia" w:ascii="宋体" w:hAnsi="宋体"/>
          <w:b w:val="0"/>
          <w:bCs/>
          <w:color w:val="auto"/>
          <w:sz w:val="24"/>
          <w:lang w:val="en-US" w:eastAsia="zh-CN"/>
        </w:rPr>
        <w:t>★1、</w:t>
      </w:r>
      <w:r>
        <w:rPr>
          <w:rFonts w:hint="eastAsia" w:ascii="宋体" w:hAnsi="宋体"/>
          <w:b w:val="0"/>
          <w:bCs/>
          <w:color w:val="auto"/>
          <w:sz w:val="24"/>
        </w:rPr>
        <w:t>检测方法</w:t>
      </w:r>
      <w:r>
        <w:rPr>
          <w:rFonts w:hint="eastAsia" w:ascii="宋体" w:hAnsi="宋体"/>
          <w:b w:val="0"/>
          <w:bCs/>
          <w:color w:val="auto"/>
          <w:sz w:val="24"/>
          <w:lang w:eastAsia="zh-CN"/>
        </w:rPr>
        <w:t>：PCR荧光探针法；</w:t>
      </w:r>
    </w:p>
    <w:p w14:paraId="18282ADB">
      <w:pPr>
        <w:rPr>
          <w:rFonts w:hint="eastAsia" w:ascii="宋体" w:hAnsi="宋体"/>
          <w:b w:val="0"/>
          <w:bCs/>
          <w:color w:val="auto"/>
          <w:sz w:val="24"/>
          <w:lang w:val="en-US" w:eastAsia="zh-CN"/>
        </w:rPr>
      </w:pPr>
      <w:r>
        <w:rPr>
          <w:rFonts w:hint="eastAsia" w:ascii="宋体" w:hAnsi="宋体"/>
          <w:b w:val="0"/>
          <w:bCs/>
          <w:color w:val="auto"/>
          <w:sz w:val="24"/>
          <w:lang w:val="en-US" w:eastAsia="zh-CN"/>
        </w:rPr>
        <w:t>★2、</w:t>
      </w:r>
      <w:r>
        <w:rPr>
          <w:rFonts w:hint="eastAsia" w:ascii="宋体" w:hAnsi="宋体"/>
          <w:b w:val="0"/>
          <w:bCs/>
          <w:color w:val="auto"/>
          <w:sz w:val="24"/>
          <w:lang w:eastAsia="zh-CN"/>
        </w:rPr>
        <w:t>样本类型：</w:t>
      </w:r>
      <w:r>
        <w:rPr>
          <w:rFonts w:hint="eastAsia" w:ascii="宋体" w:hAnsi="宋体"/>
          <w:b w:val="0"/>
          <w:bCs/>
          <w:color w:val="auto"/>
          <w:sz w:val="24"/>
          <w:lang w:val="en-US" w:eastAsia="zh-CN"/>
        </w:rPr>
        <w:t>痰液；</w:t>
      </w:r>
    </w:p>
    <w:p w14:paraId="75EC8FDD">
      <w:pPr>
        <w:rPr>
          <w:rFonts w:hint="eastAsia" w:ascii="宋体" w:hAnsi="宋体"/>
          <w:b w:val="0"/>
          <w:bCs/>
          <w:color w:val="auto"/>
          <w:sz w:val="24"/>
          <w:lang w:val="en-US" w:eastAsia="zh-CN"/>
        </w:rPr>
      </w:pPr>
      <w:r>
        <w:rPr>
          <w:rFonts w:hint="eastAsia" w:ascii="宋体" w:hAnsi="宋体"/>
          <w:b w:val="0"/>
          <w:bCs/>
          <w:color w:val="auto"/>
          <w:sz w:val="24"/>
          <w:lang w:val="en-US" w:eastAsia="zh-CN"/>
        </w:rPr>
        <w:t>▲3、试剂保质期：于-20±5℃避光保存，有效期为≥12个月（避免反复冻融（冻融次数不得超过7次），开瓶后置于2-8℃保存，有效期为≥15天；</w:t>
      </w:r>
    </w:p>
    <w:p w14:paraId="29271AF0">
      <w:pPr>
        <w:rPr>
          <w:rFonts w:hint="eastAsia" w:ascii="宋体" w:hAnsi="宋体"/>
          <w:b w:val="0"/>
          <w:bCs/>
          <w:color w:val="auto"/>
          <w:sz w:val="24"/>
          <w:lang w:val="en-US" w:eastAsia="zh-CN"/>
        </w:rPr>
      </w:pPr>
      <w:r>
        <w:rPr>
          <w:rFonts w:hint="eastAsia" w:ascii="宋体" w:hAnsi="宋体"/>
          <w:b w:val="0"/>
          <w:bCs/>
          <w:color w:val="auto"/>
          <w:sz w:val="24"/>
          <w:lang w:val="en-US" w:eastAsia="zh-CN"/>
        </w:rPr>
        <w:t>▲4、样本保存：2~8℃条件下可以保存72小时，-20±5℃条件下可以保存12个月，在-90~-70℃条件下可保存24个月；</w:t>
      </w:r>
    </w:p>
    <w:p w14:paraId="456FC261">
      <w:pPr>
        <w:rPr>
          <w:rFonts w:hint="eastAsia" w:ascii="宋体" w:hAnsi="宋体"/>
          <w:b w:val="0"/>
          <w:bCs/>
          <w:color w:val="auto"/>
          <w:sz w:val="24"/>
          <w:lang w:val="en-US" w:eastAsia="zh-CN"/>
        </w:rPr>
      </w:pPr>
      <w:r>
        <w:rPr>
          <w:rFonts w:hint="eastAsia" w:ascii="宋体" w:hAnsi="宋体"/>
          <w:b w:val="0"/>
          <w:bCs/>
          <w:color w:val="auto"/>
          <w:sz w:val="24"/>
          <w:lang w:val="en-US" w:eastAsia="zh-CN"/>
        </w:rPr>
        <w:t>5、检测下限：1500copies/ml；</w:t>
      </w:r>
    </w:p>
    <w:p w14:paraId="41C1B4E7">
      <w:pPr>
        <w:rPr>
          <w:rFonts w:hint="eastAsia" w:ascii="宋体" w:hAnsi="宋体"/>
          <w:b w:val="0"/>
          <w:bCs/>
          <w:color w:val="auto"/>
          <w:sz w:val="24"/>
          <w:lang w:val="en-US" w:eastAsia="zh-CN"/>
        </w:rPr>
      </w:pPr>
      <w:r>
        <w:rPr>
          <w:rFonts w:hint="eastAsia" w:ascii="宋体" w:hAnsi="宋体"/>
          <w:b w:val="0"/>
          <w:bCs/>
          <w:color w:val="auto"/>
          <w:sz w:val="24"/>
          <w:lang w:val="en-US" w:eastAsia="zh-CN"/>
        </w:rPr>
        <w:t>▲6、检测靶点：曲霉菌属、新型隐球菌、耶氏肺孢子菌；</w:t>
      </w:r>
    </w:p>
    <w:p w14:paraId="5FF16146">
      <w:pPr>
        <w:rPr>
          <w:rFonts w:hint="eastAsia" w:ascii="宋体" w:hAnsi="宋体"/>
          <w:b w:val="0"/>
          <w:bCs/>
          <w:color w:val="auto"/>
          <w:sz w:val="24"/>
          <w:lang w:val="en-US" w:eastAsia="zh-CN"/>
        </w:rPr>
      </w:pPr>
      <w:r>
        <w:rPr>
          <w:rFonts w:hint="eastAsia" w:ascii="宋体" w:hAnsi="宋体"/>
          <w:b w:val="0"/>
          <w:bCs/>
          <w:color w:val="auto"/>
          <w:sz w:val="24"/>
          <w:lang w:val="en-US" w:eastAsia="zh-CN"/>
        </w:rPr>
        <w:t>7、检测时间：常规2.5小时±0.5小时；</w:t>
      </w:r>
    </w:p>
    <w:p w14:paraId="12C62FC3">
      <w:pPr>
        <w:rPr>
          <w:rFonts w:hint="eastAsia" w:ascii="宋体" w:hAnsi="宋体"/>
          <w:b w:val="0"/>
          <w:bCs/>
          <w:color w:val="auto"/>
          <w:sz w:val="24"/>
        </w:rPr>
      </w:pPr>
      <w:r>
        <w:rPr>
          <w:rFonts w:hint="eastAsia" w:ascii="宋体" w:hAnsi="宋体"/>
          <w:b w:val="0"/>
          <w:bCs/>
          <w:color w:val="auto"/>
          <w:sz w:val="24"/>
          <w:lang w:val="en-US" w:eastAsia="zh-CN"/>
        </w:rPr>
        <w:t>8、精密性：批内CV（批内</w:t>
      </w:r>
      <w:r>
        <w:rPr>
          <w:rFonts w:ascii="Segoe UI" w:hAnsi="Segoe UI" w:eastAsia="Segoe UI" w:cs="Segoe UI"/>
          <w:i w:val="0"/>
          <w:iCs w:val="0"/>
          <w:caps w:val="0"/>
          <w:color w:val="auto"/>
          <w:spacing w:val="0"/>
          <w:sz w:val="24"/>
          <w:szCs w:val="24"/>
          <w:shd w:val="clear" w:fill="FFFFFF"/>
        </w:rPr>
        <w:t>变异系数</w:t>
      </w:r>
      <w:r>
        <w:rPr>
          <w:rFonts w:hint="eastAsia" w:ascii="宋体" w:hAnsi="宋体"/>
          <w:b w:val="0"/>
          <w:bCs/>
          <w:color w:val="auto"/>
          <w:sz w:val="24"/>
          <w:lang w:val="en-US" w:eastAsia="zh-CN"/>
        </w:rPr>
        <w:t>）≤5.0%；批间CV（批间</w:t>
      </w:r>
      <w:r>
        <w:rPr>
          <w:rFonts w:ascii="Segoe UI" w:hAnsi="Segoe UI" w:eastAsia="Segoe UI" w:cs="Segoe UI"/>
          <w:i w:val="0"/>
          <w:iCs w:val="0"/>
          <w:caps w:val="0"/>
          <w:color w:val="auto"/>
          <w:spacing w:val="0"/>
          <w:sz w:val="24"/>
          <w:szCs w:val="24"/>
          <w:shd w:val="clear" w:fill="FFFFFF"/>
        </w:rPr>
        <w:t>变异系数</w:t>
      </w:r>
      <w:r>
        <w:rPr>
          <w:rFonts w:hint="eastAsia" w:ascii="宋体" w:hAnsi="宋体"/>
          <w:b w:val="0"/>
          <w:bCs/>
          <w:color w:val="auto"/>
          <w:sz w:val="24"/>
          <w:lang w:val="en-US" w:eastAsia="zh-CN"/>
        </w:rPr>
        <w:t>）≤5.0%。</w:t>
      </w: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7"/>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39"/>
        <w:rPr>
          <w:color w:val="auto"/>
        </w:rPr>
      </w:pPr>
      <w:bookmarkStart w:id="52" w:name="_Toc134536605"/>
      <w:r>
        <w:rPr>
          <w:rFonts w:hint="eastAsia"/>
          <w:color w:val="auto"/>
        </w:rPr>
        <w:t>第五章  评审办法</w:t>
      </w:r>
      <w:bookmarkEnd w:id="52"/>
    </w:p>
    <w:p w14:paraId="5B065F1F">
      <w:pPr>
        <w:pStyle w:val="148"/>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8"/>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7"/>
        <w:rPr>
          <w:color w:val="auto"/>
        </w:rPr>
      </w:pPr>
    </w:p>
    <w:bookmarkEnd w:id="53"/>
    <w:p w14:paraId="263DDE51">
      <w:pPr>
        <w:pStyle w:val="148"/>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8"/>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auto"/>
                <w:kern w:val="0"/>
                <w:szCs w:val="21"/>
              </w:rPr>
            </w:pPr>
            <w:r>
              <w:rPr>
                <w:rFonts w:hint="eastAsia" w:ascii="宋体" w:hAnsi="宋体" w:cs="宋体"/>
                <w:b/>
                <w:bCs/>
                <w:color w:val="auto"/>
                <w:kern w:val="0"/>
                <w:szCs w:val="21"/>
              </w:rPr>
              <w:t>01包：</w:t>
            </w:r>
            <w:bookmarkStart w:id="60"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18</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22</w:t>
            </w:r>
            <w:r>
              <w:rPr>
                <w:rFonts w:hint="eastAsia" w:ascii="宋体" w:hAnsi="宋体" w:cs="宋体"/>
                <w:color w:val="auto"/>
                <w:kern w:val="0"/>
                <w:szCs w:val="21"/>
              </w:rPr>
              <w:t>，得分保留2位小数。</w:t>
            </w:r>
            <w:bookmarkEnd w:id="60"/>
          </w:p>
          <w:p w14:paraId="68F36EAD">
            <w:pPr>
              <w:widowControl/>
              <w:rPr>
                <w:rFonts w:hint="eastAsia" w:ascii="宋体" w:hAnsi="宋体" w:cs="宋体"/>
                <w:color w:val="auto"/>
                <w:kern w:val="0"/>
                <w:szCs w:val="21"/>
              </w:rPr>
            </w:pPr>
            <w:r>
              <w:rPr>
                <w:rFonts w:hint="eastAsia" w:ascii="宋体" w:hAnsi="宋体" w:cs="宋体"/>
                <w:b/>
                <w:bCs/>
                <w:color w:val="auto"/>
                <w:kern w:val="0"/>
                <w:szCs w:val="21"/>
              </w:rPr>
              <w:t>0</w:t>
            </w:r>
            <w:r>
              <w:rPr>
                <w:rFonts w:hint="eastAsia" w:ascii="宋体" w:hAnsi="宋体" w:cs="宋体"/>
                <w:b/>
                <w:bCs/>
                <w:color w:val="auto"/>
                <w:kern w:val="0"/>
                <w:szCs w:val="21"/>
                <w:lang w:val="en-US" w:eastAsia="zh-CN"/>
              </w:rPr>
              <w:t>2</w:t>
            </w:r>
            <w:r>
              <w:rPr>
                <w:rFonts w:hint="eastAsia" w:ascii="宋体" w:hAnsi="宋体" w:cs="宋体"/>
                <w:b/>
                <w:bCs/>
                <w:color w:val="auto"/>
                <w:kern w:val="0"/>
                <w:szCs w:val="21"/>
              </w:rPr>
              <w:t>包：</w:t>
            </w:r>
            <w:r>
              <w:rPr>
                <w:rFonts w:hint="eastAsia" w:ascii="宋体" w:hAnsi="宋体" w:cs="宋体"/>
                <w:color w:val="auto"/>
                <w:kern w:val="0"/>
                <w:szCs w:val="21"/>
              </w:rPr>
              <w:t>普通参数得分=（供应商满足普通技术参数要求条款的数量÷普通技术参数要求条款总数量）×</w:t>
            </w:r>
            <w:r>
              <w:rPr>
                <w:rFonts w:hint="eastAsia" w:ascii="宋体" w:hAnsi="宋体" w:cs="宋体"/>
                <w:color w:val="auto"/>
                <w:kern w:val="0"/>
                <w:szCs w:val="21"/>
                <w:lang w:val="en-US" w:eastAsia="zh-CN"/>
              </w:rPr>
              <w:t>8</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32</w:t>
            </w:r>
            <w:r>
              <w:rPr>
                <w:rFonts w:hint="eastAsia" w:ascii="宋体" w:hAnsi="宋体" w:cs="宋体"/>
                <w:color w:val="auto"/>
                <w:kern w:val="0"/>
                <w:szCs w:val="21"/>
              </w:rPr>
              <w:t>，得分保留2位小数。</w:t>
            </w:r>
          </w:p>
          <w:p w14:paraId="6C0DC5CF">
            <w:pPr>
              <w:widowControl/>
              <w:rPr>
                <w:rFonts w:hint="eastAsia" w:ascii="宋体" w:hAnsi="宋体" w:cs="宋体"/>
                <w:color w:val="auto"/>
                <w:kern w:val="0"/>
                <w:szCs w:val="21"/>
              </w:rPr>
            </w:pPr>
            <w:r>
              <w:rPr>
                <w:rFonts w:hint="eastAsia" w:ascii="宋体" w:hAnsi="宋体" w:cs="宋体"/>
                <w:b/>
                <w:bCs/>
                <w:color w:val="auto"/>
                <w:kern w:val="0"/>
                <w:szCs w:val="21"/>
                <w:lang w:val="en-US" w:eastAsia="zh-CN"/>
              </w:rPr>
              <w:t>03</w:t>
            </w:r>
            <w:r>
              <w:rPr>
                <w:rFonts w:hint="eastAsia" w:ascii="宋体" w:hAnsi="宋体" w:cs="宋体"/>
                <w:b/>
                <w:bCs/>
                <w:color w:val="auto"/>
                <w:kern w:val="0"/>
                <w:szCs w:val="21"/>
              </w:rPr>
              <w:t>包：</w:t>
            </w:r>
            <w:r>
              <w:rPr>
                <w:rFonts w:hint="eastAsia" w:ascii="宋体" w:hAnsi="宋体" w:cs="宋体"/>
                <w:color w:val="auto"/>
                <w:kern w:val="0"/>
                <w:szCs w:val="21"/>
              </w:rPr>
              <w:t>普通参数得分=（供应商满足普通技术参数要求条款的数量÷普通技术参数要求条款总数量）×</w:t>
            </w:r>
            <w:r>
              <w:rPr>
                <w:rFonts w:hint="eastAsia" w:ascii="宋体" w:hAnsi="宋体" w:cs="宋体"/>
                <w:color w:val="auto"/>
                <w:kern w:val="0"/>
                <w:szCs w:val="21"/>
                <w:lang w:val="en-US" w:eastAsia="zh-CN"/>
              </w:rPr>
              <w:t>13</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27</w:t>
            </w:r>
            <w:r>
              <w:rPr>
                <w:rFonts w:hint="eastAsia" w:ascii="宋体" w:hAnsi="宋体" w:cs="宋体"/>
                <w:color w:val="auto"/>
                <w:kern w:val="0"/>
                <w:szCs w:val="21"/>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年5月1日至今的</w:t>
            </w:r>
            <w:r>
              <w:rPr>
                <w:rFonts w:hint="eastAsia" w:ascii="宋体" w:hAnsi="宋体" w:cs="宋体"/>
                <w:color w:val="auto"/>
                <w:kern w:val="0"/>
                <w:szCs w:val="21"/>
                <w:lang w:eastAsia="zh-CN"/>
              </w:rPr>
              <w:t>同类产品</w:t>
            </w:r>
            <w:r>
              <w:rPr>
                <w:rFonts w:hint="eastAsia" w:ascii="宋体" w:hAnsi="宋体" w:cs="宋体"/>
                <w:color w:val="auto"/>
                <w:kern w:val="0"/>
                <w:szCs w:val="21"/>
              </w:rPr>
              <w:t>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auto"/>
                <w:kern w:val="0"/>
                <w:szCs w:val="21"/>
              </w:rPr>
            </w:pPr>
            <w:r>
              <w:rPr>
                <w:rFonts w:hint="eastAsia" w:ascii="宋体" w:hAnsi="宋体" w:cs="宋体"/>
                <w:color w:val="auto"/>
                <w:kern w:val="0"/>
                <w:szCs w:val="21"/>
              </w:rPr>
              <w:t xml:space="preserve">方案内容完全满足要求的得10分；漏项的、不完整、不合理的每项扣2.5分， </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8"/>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2AC4AB34">
      <w:pPr>
        <w:pStyle w:val="148"/>
        <w:ind w:right="439"/>
        <w:jc w:val="center"/>
        <w:rPr>
          <w:rFonts w:ascii="黑体" w:hAnsi="黑体" w:eastAsia="黑体"/>
          <w:b/>
          <w:color w:val="auto"/>
        </w:rPr>
      </w:pPr>
      <w:bookmarkStart w:id="61" w:name="_Toc217446061"/>
      <w:bookmarkStart w:id="62" w:name="_Toc183582297"/>
      <w:bookmarkStart w:id="63" w:name="_Toc183682432"/>
      <w:bookmarkStart w:id="64" w:name="_Toc208849022"/>
      <w:bookmarkStart w:id="65" w:name="_Toc217446105"/>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0" w:name="_Toc134536607"/>
      <w:bookmarkStart w:id="71" w:name="_Toc11901"/>
      <w:bookmarkStart w:id="72" w:name="_Toc30899"/>
      <w:r>
        <w:rPr>
          <w:rFonts w:hint="eastAsia" w:ascii="Cambria" w:hAnsi="Cambria" w:eastAsia="华文中宋"/>
          <w:b/>
          <w:bCs/>
          <w:color w:val="auto"/>
          <w:sz w:val="36"/>
          <w:szCs w:val="32"/>
        </w:rPr>
        <w:t>第七章  广安市人民医院供应商黑名单管理办法</w:t>
      </w:r>
      <w:bookmarkEnd w:id="70"/>
      <w:bookmarkEnd w:id="71"/>
      <w:bookmarkEnd w:id="72"/>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3F32506"/>
    <w:rsid w:val="043263EE"/>
    <w:rsid w:val="045D4FD9"/>
    <w:rsid w:val="047963B0"/>
    <w:rsid w:val="048535A1"/>
    <w:rsid w:val="04B877EB"/>
    <w:rsid w:val="051C6CC9"/>
    <w:rsid w:val="060E27EA"/>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A6257"/>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367FA4"/>
    <w:rsid w:val="304E470D"/>
    <w:rsid w:val="31020493"/>
    <w:rsid w:val="31443613"/>
    <w:rsid w:val="31A4747B"/>
    <w:rsid w:val="322D79E1"/>
    <w:rsid w:val="32D36347"/>
    <w:rsid w:val="32DD503E"/>
    <w:rsid w:val="33680E43"/>
    <w:rsid w:val="336D6D80"/>
    <w:rsid w:val="339A5D2A"/>
    <w:rsid w:val="34240DF7"/>
    <w:rsid w:val="35DA54E6"/>
    <w:rsid w:val="35F95447"/>
    <w:rsid w:val="36A320FC"/>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3C36C7"/>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7E61E3"/>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406582"/>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4E7677"/>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9A50CB"/>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9091</Words>
  <Characters>9572</Characters>
  <Lines>178</Lines>
  <Paragraphs>50</Paragraphs>
  <TotalTime>2</TotalTime>
  <ScaleCrop>false</ScaleCrop>
  <LinksUpToDate>false</LinksUpToDate>
  <CharactersWithSpaces>9722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2026-01-04T09:44:00Z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03D49F13F25140C2A119146F55C83B35_13</vt:lpwstr>
  </property>
  <property fmtid="{D5CDD505-2E9C-101B-9397-08002B2CF9AE}" pid="4" name="KSOTemplateDocerSaveRecord">
    <vt:lpwstr>eyJoZGlkIjoiOGFkYmYxZTQwODIwNWFmNzM5MDE0ZWUyNDYyMDdhMjAiLCJ1c2VySWQiOiIxNzYxODEzMTM1In0=</vt:lpwstr>
  </property>
</Properties>
</file>