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唐氏筛查标本运输物流服务采购项目</w:t>
      </w:r>
    </w:p>
    <w:p w14:paraId="7D15CE89">
      <w:pPr>
        <w:jc w:val="center"/>
        <w:rPr>
          <w:rFonts w:ascii="华文中宋" w:hAnsi="华文中宋" w:eastAsia="华文中宋"/>
          <w:b/>
          <w:color w:val="auto"/>
          <w:sz w:val="44"/>
          <w:szCs w:val="44"/>
          <w:highlight w:val="none"/>
        </w:rPr>
      </w:pPr>
    </w:p>
    <w:p w14:paraId="2B98ACE7">
      <w:pPr>
        <w:pStyle w:val="18"/>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51112</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1"/>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1"/>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1"/>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1"/>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1"/>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1"/>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1"/>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1"/>
          <w:rFonts w:asciiTheme="minorEastAsia" w:hAnsiTheme="minorEastAsia" w:eastAsiaTheme="minorEastAsia"/>
          <w:color w:val="auto"/>
          <w:sz w:val="32"/>
          <w:szCs w:val="32"/>
          <w:highlight w:val="none"/>
        </w:rPr>
        <w:t>第</w:t>
      </w:r>
      <w:r>
        <w:rPr>
          <w:rStyle w:val="51"/>
          <w:rFonts w:hint="eastAsia" w:asciiTheme="minorEastAsia" w:hAnsiTheme="minorEastAsia" w:eastAsiaTheme="minorEastAsia"/>
          <w:color w:val="auto"/>
          <w:sz w:val="32"/>
          <w:szCs w:val="32"/>
          <w:highlight w:val="none"/>
          <w:lang w:eastAsia="zh-CN"/>
        </w:rPr>
        <w:t>六</w:t>
      </w:r>
      <w:r>
        <w:rPr>
          <w:rStyle w:val="51"/>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41"/>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唐氏筛查标本运输物流服务采购项目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51112</w:t>
      </w:r>
      <w:r>
        <w:rPr>
          <w:rFonts w:ascii="宋体" w:hAnsi="宋体"/>
          <w:b/>
          <w:bCs/>
          <w:color w:val="auto"/>
          <w:sz w:val="24"/>
          <w:highlight w:val="none"/>
        </w:rPr>
        <w:t>-01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022AB2C3">
      <w:pPr>
        <w:tabs>
          <w:tab w:val="left" w:pos="1480"/>
        </w:tabs>
        <w:autoSpaceDE w:val="0"/>
        <w:autoSpaceDN w:val="0"/>
        <w:adjustRightInd w:val="0"/>
        <w:spacing w:line="360" w:lineRule="auto"/>
        <w:ind w:right="-67" w:firstLine="583" w:firstLineChars="243"/>
        <w:jc w:val="left"/>
        <w:textAlignment w:val="baseline"/>
        <w:rPr>
          <w:rFonts w:hint="eastAsia" w:cs="Courier New"/>
          <w:color w:val="auto"/>
          <w:sz w:val="24"/>
          <w:highlight w:val="none"/>
        </w:rPr>
      </w:pPr>
      <w:r>
        <w:rPr>
          <w:rFonts w:hint="eastAsia" w:cs="Courier New"/>
          <w:color w:val="auto"/>
          <w:sz w:val="24"/>
          <w:highlight w:val="none"/>
        </w:rPr>
        <w:t>随着医院业务的快速发展，临床科室对唐氏筛查项目的需求越来越多。由于唐氏筛查项目须送往具有专业资质的医疗机构开展检测，为保证医院服务质量，现对唐氏筛查标本运送和报告发放服务进行采购。</w:t>
      </w:r>
    </w:p>
    <w:tbl>
      <w:tblPr>
        <w:tblStyle w:val="4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唐氏筛查标本运输物流服务</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3年</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产科</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10AD351E">
      <w:pPr>
        <w:autoSpaceDE w:val="0"/>
        <w:autoSpaceDN w:val="0"/>
        <w:adjustRightInd w:val="0"/>
        <w:spacing w:before="78" w:line="360" w:lineRule="auto"/>
        <w:ind w:right="-20"/>
        <w:jc w:val="left"/>
        <w:rPr>
          <w:color w:val="auto"/>
          <w:highlight w:val="none"/>
        </w:rPr>
      </w:pPr>
      <w:r>
        <w:rPr>
          <w:rFonts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7有效的营业执照（经营范围应包含道路运输业或相关范围）</w:t>
      </w:r>
      <w:r>
        <w:rPr>
          <w:rFonts w:hint="eastAsia" w:ascii="宋体" w:hAnsi="宋体" w:cs="Times New Roman"/>
          <w:bCs/>
          <w:color w:val="auto"/>
          <w:kern w:val="0"/>
          <w:sz w:val="24"/>
          <w:highlight w:val="none"/>
        </w:rPr>
        <w:t>。</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0516BB53">
      <w:pPr>
        <w:tabs>
          <w:tab w:val="left" w:pos="1500"/>
          <w:tab w:val="left" w:pos="5160"/>
        </w:tabs>
        <w:autoSpaceDE w:val="0"/>
        <w:autoSpaceDN w:val="0"/>
        <w:adjustRightInd w:val="0"/>
        <w:spacing w:before="6" w:line="360" w:lineRule="auto"/>
        <w:ind w:right="-20"/>
        <w:jc w:val="left"/>
        <w:rPr>
          <w:color w:val="auto"/>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41"/>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唐氏筛查标本运输物流服务采购项目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18"/>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8"/>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（详见第六章）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34536603"/>
      <w:bookmarkStart w:id="8" w:name="_Toc150831011"/>
      <w:bookmarkStart w:id="9" w:name="_Toc146532506"/>
      <w:r>
        <w:rPr>
          <w:rFonts w:hint="eastAsia"/>
          <w:color w:val="auto"/>
          <w:highlight w:val="none"/>
        </w:rPr>
        <w:br w:type="page"/>
      </w:r>
    </w:p>
    <w:p w14:paraId="12F7F411">
      <w:pPr>
        <w:pStyle w:val="41"/>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4"/>
        <w:rPr>
          <w:rFonts w:ascii="宋体" w:hAnsi="宋体"/>
          <w:b/>
          <w:color w:val="auto"/>
          <w:sz w:val="24"/>
          <w:szCs w:val="24"/>
          <w:highlight w:val="none"/>
        </w:rPr>
      </w:pPr>
    </w:p>
    <w:p w14:paraId="38116742">
      <w:pPr>
        <w:pStyle w:val="14"/>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325028467"/>
      <w:bookmarkStart w:id="12" w:name="_Toc476736016"/>
      <w:bookmarkStart w:id="13" w:name="_Toc453578485"/>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184704625"/>
      <w:bookmarkStart w:id="15" w:name="_Toc460503083"/>
      <w:bookmarkStart w:id="16" w:name="_Toc217446083"/>
      <w:bookmarkStart w:id="17" w:name="_Toc300303160"/>
      <w:bookmarkStart w:id="18" w:name="_Toc321598257"/>
      <w:bookmarkStart w:id="19" w:name="_Toc280877425"/>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56175382"/>
      <w:bookmarkEnd w:id="20"/>
      <w:bookmarkStart w:id="21" w:name="_Toc250041691"/>
      <w:bookmarkEnd w:id="21"/>
      <w:bookmarkStart w:id="22" w:name="_Toc263753600"/>
      <w:bookmarkEnd w:id="22"/>
      <w:bookmarkStart w:id="23" w:name="_Toc237145385"/>
      <w:bookmarkEnd w:id="23"/>
      <w:bookmarkStart w:id="24" w:name="_Toc297204985"/>
      <w:bookmarkEnd w:id="24"/>
      <w:bookmarkStart w:id="25" w:name="_Toc263768864"/>
      <w:bookmarkEnd w:id="25"/>
    </w:p>
    <w:p w14:paraId="2D6412C4">
      <w:pPr>
        <w:spacing w:line="360" w:lineRule="auto"/>
        <w:jc w:val="center"/>
        <w:rPr>
          <w:rFonts w:hint="eastAsia"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02D2E290">
      <w:pPr>
        <w:pStyle w:val="2"/>
        <w:rPr>
          <w:color w:val="auto"/>
          <w:highlight w:val="none"/>
        </w:rPr>
      </w:pPr>
    </w:p>
    <w:tbl>
      <w:tblPr>
        <w:tblStyle w:val="44"/>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31B37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060AA7E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序号</w:t>
            </w:r>
          </w:p>
        </w:tc>
        <w:tc>
          <w:tcPr>
            <w:tcW w:w="1127" w:type="pct"/>
            <w:vAlign w:val="center"/>
          </w:tcPr>
          <w:p w14:paraId="7FE9FD5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报价内容</w:t>
            </w:r>
          </w:p>
        </w:tc>
        <w:tc>
          <w:tcPr>
            <w:tcW w:w="623" w:type="pct"/>
            <w:vAlign w:val="center"/>
          </w:tcPr>
          <w:p w14:paraId="7B1DE91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计量单位</w:t>
            </w:r>
          </w:p>
        </w:tc>
        <w:tc>
          <w:tcPr>
            <w:tcW w:w="623" w:type="pct"/>
            <w:vAlign w:val="center"/>
          </w:tcPr>
          <w:p w14:paraId="11E1992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报价单位</w:t>
            </w:r>
          </w:p>
        </w:tc>
        <w:tc>
          <w:tcPr>
            <w:tcW w:w="625" w:type="pct"/>
            <w:vAlign w:val="center"/>
          </w:tcPr>
          <w:p w14:paraId="3D3230F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响应报价</w:t>
            </w:r>
          </w:p>
        </w:tc>
        <w:tc>
          <w:tcPr>
            <w:tcW w:w="625" w:type="pct"/>
            <w:vAlign w:val="center"/>
          </w:tcPr>
          <w:p w14:paraId="0E9226F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价款形式</w:t>
            </w:r>
          </w:p>
        </w:tc>
        <w:tc>
          <w:tcPr>
            <w:tcW w:w="939" w:type="pct"/>
            <w:vAlign w:val="center"/>
          </w:tcPr>
          <w:p w14:paraId="646997A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报价说明</w:t>
            </w:r>
          </w:p>
        </w:tc>
      </w:tr>
      <w:tr w14:paraId="22F32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63CCA18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1</w:t>
            </w:r>
          </w:p>
        </w:tc>
        <w:tc>
          <w:tcPr>
            <w:tcW w:w="1127" w:type="pct"/>
            <w:vAlign w:val="center"/>
          </w:tcPr>
          <w:p w14:paraId="1F11C24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c>
          <w:tcPr>
            <w:tcW w:w="623" w:type="pct"/>
            <w:vAlign w:val="center"/>
          </w:tcPr>
          <w:p w14:paraId="0D73547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项</w:t>
            </w:r>
          </w:p>
        </w:tc>
        <w:tc>
          <w:tcPr>
            <w:tcW w:w="623" w:type="pct"/>
            <w:vAlign w:val="center"/>
          </w:tcPr>
          <w:p w14:paraId="6FF7D0B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元</w:t>
            </w:r>
          </w:p>
        </w:tc>
        <w:tc>
          <w:tcPr>
            <w:tcW w:w="625" w:type="pct"/>
            <w:vAlign w:val="center"/>
          </w:tcPr>
          <w:p w14:paraId="3EC801D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c>
          <w:tcPr>
            <w:tcW w:w="625" w:type="pct"/>
            <w:vAlign w:val="center"/>
          </w:tcPr>
          <w:p w14:paraId="6E96958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总价</w:t>
            </w:r>
          </w:p>
        </w:tc>
        <w:tc>
          <w:tcPr>
            <w:tcW w:w="939" w:type="pct"/>
            <w:vAlign w:val="center"/>
          </w:tcPr>
          <w:p w14:paraId="001864F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lang w:val="en-US" w:eastAsia="zh-CN" w:bidi="ar-SA"/>
              </w:rPr>
            </w:pPr>
          </w:p>
        </w:tc>
      </w:tr>
    </w:tbl>
    <w:p w14:paraId="2A82DC36">
      <w:pPr>
        <w:pStyle w:val="18"/>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所有报价均用人民币表示，包括完成本项目所投入的运输费</w:t>
      </w:r>
      <w:r>
        <w:rPr>
          <w:rFonts w:hint="eastAsia" w:cs="宋体"/>
          <w:bCs/>
          <w:color w:val="auto"/>
          <w:kern w:val="2"/>
          <w:sz w:val="24"/>
          <w:szCs w:val="24"/>
          <w:highlight w:val="none"/>
          <w:lang w:val="en-US" w:eastAsia="zh-CN" w:bidi="ar"/>
        </w:rPr>
        <w:t>、</w:t>
      </w:r>
      <w:r>
        <w:rPr>
          <w:rFonts w:hint="eastAsia" w:ascii="Calibri" w:hAnsi="Calibri" w:eastAsia="宋体" w:cs="宋体"/>
          <w:bCs/>
          <w:color w:val="auto"/>
          <w:kern w:val="2"/>
          <w:sz w:val="24"/>
          <w:szCs w:val="24"/>
          <w:highlight w:val="none"/>
          <w:lang w:val="en-US" w:eastAsia="zh-CN" w:bidi="ar"/>
        </w:rPr>
        <w:t>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4"/>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76736025"/>
      <w:bookmarkStart w:id="28" w:name="_Toc453578491"/>
      <w:bookmarkStart w:id="29" w:name="_Toc325028474"/>
      <w:r>
        <w:rPr>
          <w:rFonts w:hint="eastAsia" w:ascii="黑体" w:hAnsi="黑体" w:eastAsia="黑体"/>
          <w:b/>
          <w:bCs/>
          <w:color w:val="auto"/>
          <w:sz w:val="28"/>
          <w:szCs w:val="28"/>
          <w:highlight w:val="none"/>
        </w:rPr>
        <w:t>格式六、</w:t>
      </w:r>
      <w:bookmarkEnd w:id="27"/>
      <w:bookmarkEnd w:id="28"/>
      <w:bookmarkEnd w:id="29"/>
      <w:bookmarkStart w:id="30" w:name="_Toc24591"/>
      <w:bookmarkStart w:id="31" w:name="_Toc19468"/>
      <w:r>
        <w:rPr>
          <w:rFonts w:hint="eastAsia" w:ascii="黑体" w:hAnsi="黑体" w:eastAsia="黑体"/>
          <w:b/>
          <w:bCs/>
          <w:color w:val="auto"/>
          <w:sz w:val="28"/>
          <w:szCs w:val="28"/>
          <w:highlight w:val="none"/>
        </w:rPr>
        <w:t>拟投入本项目机构人员汇总表</w:t>
      </w:r>
      <w:bookmarkEnd w:id="30"/>
      <w:bookmarkEnd w:id="31"/>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325028475"/>
      <w:bookmarkStart w:id="35" w:name="_Toc453578492"/>
      <w:bookmarkStart w:id="36" w:name="_Toc476736028"/>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30"/>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4"/>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4"/>
        <w:rPr>
          <w:color w:val="auto"/>
          <w:highlight w:val="none"/>
        </w:rPr>
      </w:pPr>
    </w:p>
    <w:p w14:paraId="1321A526">
      <w:pPr>
        <w:pStyle w:val="14"/>
        <w:rPr>
          <w:color w:val="auto"/>
          <w:highlight w:val="none"/>
        </w:rPr>
      </w:pPr>
    </w:p>
    <w:p w14:paraId="3092BD82">
      <w:pPr>
        <w:pStyle w:val="14"/>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4"/>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325028476"/>
      <w:bookmarkStart w:id="39" w:name="_Toc453578493"/>
      <w:bookmarkStart w:id="40" w:name="_Toc476736029"/>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41"/>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p w14:paraId="353F11D0">
      <w:pPr>
        <w:pStyle w:val="18"/>
        <w:keepNext w:val="0"/>
        <w:keepLines w:val="0"/>
        <w:pageBreakBefore w:val="0"/>
        <w:widowControl w:val="0"/>
        <w:kinsoku/>
        <w:wordWrap/>
        <w:overflowPunct/>
        <w:topLinePunct w:val="0"/>
        <w:autoSpaceDE/>
        <w:autoSpaceDN/>
        <w:bidi w:val="0"/>
        <w:adjustRightInd/>
        <w:snapToGrid/>
        <w:spacing w:before="241" w:beforeLines="50" w:after="241" w:afterLines="50" w:line="460" w:lineRule="exact"/>
        <w:ind w:firstLine="498" w:firstLineChars="200"/>
        <w:textAlignment w:val="auto"/>
        <w:rPr>
          <w:rFonts w:hint="eastAsia"/>
          <w:color w:val="auto"/>
          <w:highlight w:val="none"/>
          <w:lang w:val="en-US" w:eastAsia="zh-CN"/>
        </w:rPr>
      </w:pPr>
      <w:r>
        <w:rPr>
          <w:rFonts w:hint="eastAsia"/>
          <w:color w:val="auto"/>
          <w:highlight w:val="none"/>
          <w:lang w:val="en-US" w:eastAsia="zh-CN"/>
        </w:rPr>
        <w:t>随着医院业务的快速发展，临床科室对唐氏筛查项目的需求越来越多。由于唐氏筛查项目须送往具有专业资质的医疗机构开展检测，为保证医院服务质量，现对唐氏筛查标本运送和报告发放服务进行采购。</w:t>
      </w:r>
    </w:p>
    <w:tbl>
      <w:tblPr>
        <w:tblStyle w:val="45"/>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6D81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5DA1790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6BE94FC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13E757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5B79FF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37F6D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139801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5E46D6E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1C5A0D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52E5D60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5A29EA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60E2B6D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申请科室</w:t>
            </w:r>
          </w:p>
        </w:tc>
      </w:tr>
      <w:tr w14:paraId="1F3C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42C2A4E1">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63778CC6">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69AD5BAD">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ascii="Calibri" w:eastAsia="宋体"/>
                <w:color w:val="auto"/>
                <w:sz w:val="24"/>
                <w:highlight w:val="none"/>
                <w:lang w:val="en-US" w:eastAsia="zh-CN"/>
              </w:rPr>
              <w:t>唐氏筛查标本运输物流服务</w:t>
            </w:r>
          </w:p>
        </w:tc>
        <w:tc>
          <w:tcPr>
            <w:tcW w:w="825" w:type="dxa"/>
            <w:vAlign w:val="center"/>
          </w:tcPr>
          <w:p w14:paraId="43D6102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3年</w:t>
            </w:r>
          </w:p>
        </w:tc>
        <w:tc>
          <w:tcPr>
            <w:tcW w:w="1200" w:type="dxa"/>
            <w:vAlign w:val="center"/>
          </w:tcPr>
          <w:p w14:paraId="2BAA8D9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22</w:t>
            </w:r>
          </w:p>
        </w:tc>
        <w:tc>
          <w:tcPr>
            <w:tcW w:w="1260" w:type="dxa"/>
            <w:vAlign w:val="center"/>
          </w:tcPr>
          <w:p w14:paraId="6D01E9C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290" w:type="dxa"/>
            <w:vAlign w:val="center"/>
          </w:tcPr>
          <w:p w14:paraId="4DA4BF3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66</w:t>
            </w:r>
          </w:p>
        </w:tc>
        <w:tc>
          <w:tcPr>
            <w:tcW w:w="1515" w:type="dxa"/>
            <w:vAlign w:val="center"/>
          </w:tcPr>
          <w:p w14:paraId="53E82E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产科</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0148E30B">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、项目服务期：</w:t>
      </w:r>
      <w:r>
        <w:rPr>
          <w:rFonts w:hint="eastAsia" w:ascii="宋体" w:hAnsi="宋体" w:cs="宋体"/>
          <w:color w:val="auto"/>
          <w:sz w:val="24"/>
          <w:highlight w:val="none"/>
          <w:lang w:eastAsia="zh-CN"/>
        </w:rPr>
        <w:t>服务期</w:t>
      </w:r>
      <w:r>
        <w:rPr>
          <w:rFonts w:hint="eastAsia" w:ascii="宋体" w:hAnsi="宋体" w:cs="宋体"/>
          <w:color w:val="auto"/>
          <w:sz w:val="24"/>
          <w:highlight w:val="none"/>
          <w:lang w:val="en-US" w:eastAsia="zh-CN"/>
        </w:rPr>
        <w:t>3年，合同一年一签。</w:t>
      </w:r>
    </w:p>
    <w:p w14:paraId="7A70CC23">
      <w:pP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、项目服务地点：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指定地点</w:t>
      </w:r>
    </w:p>
    <w:p w14:paraId="4F6384E7">
      <w:pPr>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、付款方式：按季度结算，一个季度一次滚动付款。中标人须向采购人出具合法有效完整的增值税发票及凭证资料进行支付结算。</w:t>
      </w:r>
    </w:p>
    <w:p w14:paraId="07741681">
      <w:pPr>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、供应商有义务保守采购方的商业秘密。</w:t>
      </w:r>
    </w:p>
    <w:p w14:paraId="7CF47065">
      <w:pPr>
        <w:pStyle w:val="18"/>
        <w:spacing w:before="241" w:beforeLines="50" w:after="241" w:afterLines="50" w:line="460" w:lineRule="exact"/>
        <w:rPr>
          <w:rFonts w:hint="eastAsia"/>
          <w:color w:val="auto"/>
          <w:highlight w:val="none"/>
        </w:rPr>
      </w:pPr>
    </w:p>
    <w:p w14:paraId="6A175466">
      <w:pPr>
        <w:pStyle w:val="18"/>
        <w:spacing w:before="241" w:beforeLines="50" w:after="241" w:afterLines="50" w:line="460" w:lineRule="exact"/>
        <w:rPr>
          <w:color w:val="auto"/>
          <w:highlight w:val="none"/>
        </w:rPr>
      </w:pPr>
      <w:r>
        <w:rPr>
          <w:color w:val="auto"/>
          <w:highlight w:val="none"/>
        </w:rPr>
        <w:br w:type="page"/>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1F55A243">
      <w:pPr>
        <w:widowControl/>
        <w:jc w:val="left"/>
        <w:textAlignment w:val="bottom"/>
        <w:rPr>
          <w:rFonts w:ascii="宋体" w:hAnsi="宋体" w:cs="宋体"/>
          <w:b w:val="0"/>
          <w:bCs/>
          <w:color w:val="auto"/>
          <w:sz w:val="24"/>
          <w:highlight w:val="none"/>
        </w:rPr>
      </w:pPr>
      <w:r>
        <w:rPr>
          <w:rFonts w:ascii="宋体" w:hAnsi="宋体" w:cs="宋体"/>
          <w:b w:val="0"/>
          <w:bCs/>
          <w:color w:val="auto"/>
          <w:sz w:val="24"/>
          <w:highlight w:val="none"/>
        </w:rPr>
        <w:t>1、</w:t>
      </w:r>
      <w:r>
        <w:rPr>
          <w:rFonts w:hint="eastAsia" w:ascii="宋体" w:hAnsi="宋体" w:cs="宋体"/>
          <w:b w:val="0"/>
          <w:bCs/>
          <w:color w:val="auto"/>
          <w:sz w:val="24"/>
          <w:highlight w:val="none"/>
        </w:rPr>
        <w:t>标本收取安排</w:t>
      </w:r>
      <w:r>
        <w:rPr>
          <w:rFonts w:ascii="宋体" w:hAnsi="宋体" w:cs="宋体"/>
          <w:b w:val="0"/>
          <w:bCs/>
          <w:color w:val="auto"/>
          <w:sz w:val="24"/>
          <w:highlight w:val="none"/>
        </w:rPr>
        <w:t>：</w:t>
      </w:r>
      <w:r>
        <w:rPr>
          <w:rFonts w:hint="eastAsia" w:ascii="宋体" w:hAnsi="宋体" w:cs="宋体"/>
          <w:b w:val="0"/>
          <w:bCs/>
          <w:color w:val="auto"/>
          <w:sz w:val="24"/>
          <w:highlight w:val="none"/>
        </w:rPr>
        <w:t>周一至周六，接到医院通知后上门收取标本，收取时间为9:00-17:30</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遇重大节假期</w:t>
      </w:r>
      <w:r>
        <w:rPr>
          <w:rFonts w:hint="eastAsia" w:ascii="宋体" w:hAnsi="宋体" w:cs="宋体"/>
          <w:b w:val="0"/>
          <w:bCs/>
          <w:color w:val="auto"/>
          <w:sz w:val="24"/>
          <w:highlight w:val="none"/>
          <w:lang w:eastAsia="zh-CN"/>
        </w:rPr>
        <w:t>收取时间</w:t>
      </w:r>
      <w:r>
        <w:rPr>
          <w:rFonts w:hint="eastAsia" w:ascii="宋体" w:hAnsi="宋体" w:cs="宋体"/>
          <w:b w:val="0"/>
          <w:bCs/>
          <w:color w:val="auto"/>
          <w:sz w:val="24"/>
          <w:highlight w:val="none"/>
        </w:rPr>
        <w:t>由双方协商确定。服务期间，采购方有权根据业务需要增加或调整运输节点、运送趟次。</w:t>
      </w:r>
    </w:p>
    <w:p w14:paraId="7A4F5824">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2、供应商提供专人、专车负责送检标本的安全运输，</w:t>
      </w:r>
      <w:r>
        <w:rPr>
          <w:rFonts w:ascii="宋体" w:hAnsi="宋体" w:cs="宋体"/>
          <w:b w:val="0"/>
          <w:bCs/>
          <w:color w:val="auto"/>
          <w:sz w:val="24"/>
          <w:highlight w:val="none"/>
        </w:rPr>
        <w:t>接</w:t>
      </w:r>
      <w:r>
        <w:rPr>
          <w:rFonts w:hint="eastAsia" w:ascii="宋体" w:hAnsi="宋体" w:cs="宋体"/>
          <w:b w:val="0"/>
          <w:bCs/>
          <w:color w:val="auto"/>
          <w:sz w:val="24"/>
          <w:highlight w:val="none"/>
        </w:rPr>
        <w:t>收</w:t>
      </w:r>
      <w:r>
        <w:rPr>
          <w:rFonts w:ascii="宋体" w:hAnsi="宋体" w:cs="宋体"/>
          <w:b w:val="0"/>
          <w:bCs/>
          <w:color w:val="auto"/>
          <w:sz w:val="24"/>
          <w:highlight w:val="none"/>
        </w:rPr>
        <w:t>、转运、交接各环节</w:t>
      </w:r>
      <w:r>
        <w:rPr>
          <w:rFonts w:hint="eastAsia" w:ascii="宋体" w:hAnsi="宋体" w:cs="宋体"/>
          <w:b w:val="0"/>
          <w:bCs/>
          <w:color w:val="auto"/>
          <w:sz w:val="24"/>
          <w:highlight w:val="none"/>
        </w:rPr>
        <w:t>过</w:t>
      </w:r>
      <w:r>
        <w:rPr>
          <w:rFonts w:ascii="宋体" w:hAnsi="宋体" w:cs="宋体"/>
          <w:b w:val="0"/>
          <w:bCs/>
          <w:color w:val="auto"/>
          <w:sz w:val="24"/>
          <w:highlight w:val="none"/>
        </w:rPr>
        <w:t>程严格按照</w:t>
      </w:r>
      <w:r>
        <w:rPr>
          <w:rFonts w:hint="eastAsia" w:ascii="宋体" w:hAnsi="宋体" w:cs="宋体"/>
          <w:b w:val="0"/>
          <w:bCs/>
          <w:color w:val="auto"/>
          <w:sz w:val="24"/>
          <w:highlight w:val="none"/>
        </w:rPr>
        <w:t>卫生部门相关规定</w:t>
      </w:r>
      <w:r>
        <w:rPr>
          <w:rFonts w:ascii="宋体" w:hAnsi="宋体" w:cs="宋体"/>
          <w:b w:val="0"/>
          <w:bCs/>
          <w:color w:val="auto"/>
          <w:sz w:val="24"/>
          <w:highlight w:val="none"/>
        </w:rPr>
        <w:t>执行</w:t>
      </w:r>
      <w:r>
        <w:rPr>
          <w:rFonts w:hint="eastAsia" w:ascii="宋体" w:hAnsi="宋体" w:cs="宋体"/>
          <w:b w:val="0"/>
          <w:bCs/>
          <w:color w:val="auto"/>
          <w:sz w:val="24"/>
          <w:highlight w:val="none"/>
        </w:rPr>
        <w:t>，确保标本接收和运输过程的安全有效</w:t>
      </w:r>
      <w:r>
        <w:rPr>
          <w:rFonts w:hint="eastAsia" w:ascii="宋体" w:hAnsi="宋体" w:cs="宋体"/>
          <w:b w:val="0"/>
          <w:bCs/>
          <w:color w:val="auto"/>
          <w:sz w:val="24"/>
          <w:highlight w:val="none"/>
          <w:lang w:eastAsia="zh-CN"/>
        </w:rPr>
        <w:t>（合同签订时提供负责人姓名和联系方式）</w:t>
      </w:r>
      <w:r>
        <w:rPr>
          <w:rFonts w:hint="eastAsia" w:ascii="宋体" w:hAnsi="宋体" w:cs="宋体"/>
          <w:b w:val="0"/>
          <w:bCs/>
          <w:color w:val="auto"/>
          <w:sz w:val="24"/>
          <w:highlight w:val="none"/>
        </w:rPr>
        <w:t>。</w:t>
      </w:r>
    </w:p>
    <w:p w14:paraId="6757C171">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3、供应商应委派驾驶技术良好的专职驾驶员驾驶车辆，驾驶员需具备C1驾驶资格</w:t>
      </w:r>
      <w:r>
        <w:rPr>
          <w:rFonts w:hint="eastAsia"/>
          <w:color w:val="auto"/>
          <w:sz w:val="24"/>
          <w:highlight w:val="none"/>
          <w:lang w:eastAsia="zh-CN"/>
        </w:rPr>
        <w:t>（合同签订时提供司机姓名及联系方式）</w:t>
      </w:r>
      <w:r>
        <w:rPr>
          <w:rFonts w:hint="eastAsia" w:ascii="宋体" w:hAnsi="宋体" w:cs="宋体"/>
          <w:b w:val="0"/>
          <w:bCs/>
          <w:color w:val="auto"/>
          <w:sz w:val="24"/>
          <w:highlight w:val="none"/>
        </w:rPr>
        <w:t>。驾驶员在工作时应准时、礼貌、服务热情、必需服从采购方人员的安排，并严格遵交通法规。服务期内如驾驶员未按要求提供服务的，采购方有权要求供应商立即更换驾驶员</w:t>
      </w:r>
      <w:r>
        <w:rPr>
          <w:rFonts w:hint="eastAsia" w:ascii="宋体" w:hAnsi="宋体" w:cs="宋体"/>
          <w:b w:val="0"/>
          <w:bCs/>
          <w:color w:val="auto"/>
          <w:sz w:val="24"/>
          <w:highlight w:val="none"/>
          <w:lang w:eastAsia="zh-CN"/>
        </w:rPr>
        <w:t>并不影响采购人正常工作</w:t>
      </w:r>
      <w:r>
        <w:rPr>
          <w:rFonts w:hint="eastAsia" w:ascii="宋体" w:hAnsi="宋体" w:cs="宋体"/>
          <w:b w:val="0"/>
          <w:bCs/>
          <w:color w:val="auto"/>
          <w:sz w:val="24"/>
          <w:highlight w:val="none"/>
        </w:rPr>
        <w:t>。因供应商驾驶员原因出现违章驾驶甚至造成交通事故的，该责任全部由成交供应商承担。</w:t>
      </w:r>
    </w:p>
    <w:p w14:paraId="6FE5D4F4">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4、供应商负责对车辆进行维修保养</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并按需要消毒清洁处理。服务期间该车的维修保养费、燃油费、过路费等</w:t>
      </w:r>
      <w:r>
        <w:rPr>
          <w:rFonts w:hint="eastAsia" w:ascii="宋体" w:hAnsi="宋体" w:cs="宋体"/>
          <w:b w:val="0"/>
          <w:bCs/>
          <w:color w:val="auto"/>
          <w:sz w:val="24"/>
          <w:highlight w:val="none"/>
          <w:lang w:eastAsia="zh-CN"/>
        </w:rPr>
        <w:t>所有</w:t>
      </w:r>
      <w:r>
        <w:rPr>
          <w:rFonts w:hint="eastAsia" w:ascii="宋体" w:hAnsi="宋体" w:cs="宋体"/>
          <w:b w:val="0"/>
          <w:bCs/>
          <w:color w:val="auto"/>
          <w:sz w:val="24"/>
          <w:highlight w:val="none"/>
        </w:rPr>
        <w:t>费用由供应商负责。</w:t>
      </w:r>
    </w:p>
    <w:p w14:paraId="327241E9">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rPr>
        <w:t>5、供应商需配备符合要</w:t>
      </w:r>
      <w:r>
        <w:rPr>
          <w:rFonts w:ascii="宋体" w:hAnsi="宋体" w:cs="宋体"/>
          <w:b w:val="0"/>
          <w:bCs/>
          <w:color w:val="auto"/>
          <w:sz w:val="24"/>
          <w:highlight w:val="none"/>
        </w:rPr>
        <w:t>求</w:t>
      </w:r>
      <w:r>
        <w:rPr>
          <w:rFonts w:hint="eastAsia" w:ascii="宋体" w:hAnsi="宋体" w:cs="宋体"/>
          <w:b w:val="0"/>
          <w:bCs/>
          <w:color w:val="auto"/>
          <w:sz w:val="24"/>
          <w:highlight w:val="none"/>
          <w:lang w:eastAsia="zh-CN"/>
        </w:rPr>
        <w:t>的</w:t>
      </w:r>
      <w:r>
        <w:rPr>
          <w:rFonts w:hint="eastAsia" w:ascii="宋体" w:hAnsi="宋体" w:cs="宋体"/>
          <w:b w:val="0"/>
          <w:bCs/>
          <w:color w:val="auto"/>
          <w:sz w:val="24"/>
          <w:highlight w:val="none"/>
        </w:rPr>
        <w:t>专</w:t>
      </w:r>
      <w:r>
        <w:rPr>
          <w:rFonts w:ascii="宋体" w:hAnsi="宋体" w:cs="宋体"/>
          <w:b w:val="0"/>
          <w:bCs/>
          <w:color w:val="auto"/>
          <w:sz w:val="24"/>
          <w:highlight w:val="none"/>
        </w:rPr>
        <w:t>用标本</w:t>
      </w:r>
      <w:r>
        <w:rPr>
          <w:rFonts w:hint="eastAsia" w:ascii="宋体" w:hAnsi="宋体" w:cs="宋体"/>
          <w:b w:val="0"/>
          <w:bCs/>
          <w:color w:val="auto"/>
          <w:sz w:val="24"/>
          <w:highlight w:val="none"/>
        </w:rPr>
        <w:t>转</w:t>
      </w:r>
      <w:r>
        <w:rPr>
          <w:rFonts w:ascii="宋体" w:hAnsi="宋体" w:cs="宋体"/>
          <w:b w:val="0"/>
          <w:bCs/>
          <w:color w:val="auto"/>
          <w:sz w:val="24"/>
          <w:highlight w:val="none"/>
        </w:rPr>
        <w:t>运箱</w:t>
      </w:r>
      <w:r>
        <w:rPr>
          <w:rFonts w:hint="eastAsia" w:ascii="宋体" w:hAnsi="宋体" w:cs="宋体"/>
          <w:b w:val="0"/>
          <w:bCs/>
          <w:color w:val="auto"/>
          <w:sz w:val="24"/>
          <w:highlight w:val="none"/>
        </w:rPr>
        <w:t>，并</w:t>
      </w:r>
      <w:r>
        <w:rPr>
          <w:rFonts w:hint="eastAsia" w:ascii="宋体" w:hAnsi="宋体" w:cs="宋体"/>
          <w:b w:val="0"/>
          <w:bCs/>
          <w:color w:val="auto"/>
          <w:sz w:val="24"/>
          <w:highlight w:val="none"/>
          <w:lang w:eastAsia="zh-CN"/>
        </w:rPr>
        <w:t>每次运送标本后</w:t>
      </w:r>
      <w:r>
        <w:rPr>
          <w:rFonts w:ascii="宋体" w:hAnsi="宋体" w:cs="宋体"/>
          <w:b w:val="0"/>
          <w:bCs/>
          <w:color w:val="auto"/>
          <w:sz w:val="24"/>
          <w:highlight w:val="none"/>
        </w:rPr>
        <w:t>对标本转运箱进行</w:t>
      </w:r>
      <w:r>
        <w:rPr>
          <w:rFonts w:hint="eastAsia" w:ascii="宋体" w:hAnsi="宋体" w:cs="宋体"/>
          <w:b w:val="0"/>
          <w:bCs/>
          <w:color w:val="auto"/>
          <w:sz w:val="24"/>
          <w:highlight w:val="none"/>
        </w:rPr>
        <w:t>清</w:t>
      </w:r>
      <w:r>
        <w:rPr>
          <w:rFonts w:ascii="宋体" w:hAnsi="宋体" w:cs="宋体"/>
          <w:b w:val="0"/>
          <w:bCs/>
          <w:color w:val="auto"/>
          <w:sz w:val="24"/>
          <w:highlight w:val="none"/>
        </w:rPr>
        <w:t>洁消毒</w:t>
      </w:r>
      <w:r>
        <w:rPr>
          <w:rFonts w:hint="eastAsia" w:ascii="宋体" w:hAnsi="宋体" w:cs="宋体"/>
          <w:b w:val="0"/>
          <w:bCs/>
          <w:color w:val="auto"/>
          <w:sz w:val="24"/>
          <w:highlight w:val="none"/>
        </w:rPr>
        <w:t>处</w:t>
      </w:r>
      <w:r>
        <w:rPr>
          <w:rFonts w:ascii="宋体" w:hAnsi="宋体" w:cs="宋体"/>
          <w:b w:val="0"/>
          <w:bCs/>
          <w:color w:val="auto"/>
          <w:sz w:val="24"/>
          <w:highlight w:val="none"/>
        </w:rPr>
        <w:t>理</w:t>
      </w:r>
      <w:r>
        <w:rPr>
          <w:rFonts w:hint="eastAsia" w:ascii="宋体" w:hAnsi="宋体" w:cs="宋体"/>
          <w:b w:val="0"/>
          <w:bCs/>
          <w:color w:val="auto"/>
          <w:sz w:val="24"/>
          <w:highlight w:val="none"/>
        </w:rPr>
        <w:t>。</w:t>
      </w:r>
    </w:p>
    <w:p w14:paraId="0839AE8A">
      <w:pPr>
        <w:widowControl/>
        <w:jc w:val="left"/>
        <w:textAlignment w:val="bottom"/>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501"/>
        <w:gridCol w:w="2419"/>
        <w:gridCol w:w="1752"/>
      </w:tblGrid>
      <w:tr w14:paraId="6D02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4" w:type="dxa"/>
            <w:vAlign w:val="center"/>
          </w:tcPr>
          <w:p w14:paraId="76DF2235">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p>
        </w:tc>
        <w:tc>
          <w:tcPr>
            <w:tcW w:w="2501" w:type="dxa"/>
            <w:vAlign w:val="center"/>
          </w:tcPr>
          <w:p w14:paraId="5AD293B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color w:val="auto"/>
                <w:sz w:val="24"/>
                <w:szCs w:val="24"/>
                <w:highlight w:val="none"/>
                <w:lang w:eastAsia="zh-CN"/>
              </w:rPr>
            </w:pPr>
            <w:r>
              <w:rPr>
                <w:rFonts w:hint="default" w:ascii="宋体" w:hAnsi="宋体" w:cs="宋体"/>
                <w:b w:val="0"/>
                <w:bCs/>
                <w:color w:val="auto"/>
                <w:sz w:val="24"/>
                <w:szCs w:val="24"/>
                <w:highlight w:val="none"/>
              </w:rPr>
              <w:t>周一至</w:t>
            </w:r>
            <w:r>
              <w:rPr>
                <w:rFonts w:hint="eastAsia" w:ascii="宋体" w:hAnsi="宋体" w:cs="宋体"/>
                <w:b w:val="0"/>
                <w:bCs/>
                <w:color w:val="auto"/>
                <w:sz w:val="24"/>
                <w:szCs w:val="24"/>
                <w:highlight w:val="none"/>
                <w:lang w:val="en-US" w:eastAsia="zh-CN"/>
              </w:rPr>
              <w:t>周</w:t>
            </w:r>
            <w:r>
              <w:rPr>
                <w:rFonts w:hint="default" w:ascii="宋体" w:hAnsi="宋体" w:cs="宋体"/>
                <w:b w:val="0"/>
                <w:bCs/>
                <w:color w:val="auto"/>
                <w:sz w:val="24"/>
                <w:szCs w:val="24"/>
                <w:highlight w:val="none"/>
              </w:rPr>
              <w:t>六服务客户</w:t>
            </w:r>
            <w:r>
              <w:rPr>
                <w:rFonts w:hint="eastAsia" w:ascii="宋体" w:hAnsi="宋体" w:cs="宋体"/>
                <w:b w:val="0"/>
                <w:bCs/>
                <w:color w:val="auto"/>
                <w:sz w:val="24"/>
                <w:szCs w:val="24"/>
                <w:highlight w:val="none"/>
                <w:lang w:eastAsia="zh-CN"/>
              </w:rPr>
              <w:t>区域</w:t>
            </w:r>
          </w:p>
        </w:tc>
        <w:tc>
          <w:tcPr>
            <w:tcW w:w="2419" w:type="dxa"/>
            <w:vAlign w:val="center"/>
          </w:tcPr>
          <w:p w14:paraId="22AD34D2">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说明</w:t>
            </w:r>
          </w:p>
        </w:tc>
        <w:tc>
          <w:tcPr>
            <w:tcW w:w="1752" w:type="dxa"/>
            <w:vAlign w:val="center"/>
          </w:tcPr>
          <w:p w14:paraId="170AB3E1">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r>
              <w:rPr>
                <w:rFonts w:hint="eastAsia" w:ascii="宋体" w:hAnsi="宋体" w:cs="宋体"/>
                <w:b w:val="0"/>
                <w:bCs/>
                <w:color w:val="auto"/>
                <w:sz w:val="24"/>
                <w:highlight w:val="none"/>
              </w:rPr>
              <w:t>备注</w:t>
            </w:r>
          </w:p>
        </w:tc>
      </w:tr>
      <w:tr w14:paraId="14A3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2C08CFC">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A线</w:t>
            </w:r>
          </w:p>
          <w:p w14:paraId="63F83987">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周一、周三、周五</w:t>
            </w:r>
          </w:p>
        </w:tc>
        <w:tc>
          <w:tcPr>
            <w:tcW w:w="2501" w:type="dxa"/>
            <w:vAlign w:val="center"/>
          </w:tcPr>
          <w:p w14:paraId="594A981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val="0"/>
                <w:bCs/>
                <w:color w:val="auto"/>
                <w:sz w:val="24"/>
                <w:szCs w:val="24"/>
                <w:highlight w:val="none"/>
                <w:u w:val="none"/>
                <w:lang w:val="en-US" w:eastAsia="zh-CN"/>
              </w:rPr>
            </w:pPr>
            <w:r>
              <w:rPr>
                <w:rFonts w:hint="default" w:ascii="宋体" w:hAnsi="宋体" w:cs="宋体"/>
                <w:b w:val="0"/>
                <w:bCs/>
                <w:color w:val="auto"/>
                <w:sz w:val="24"/>
                <w:szCs w:val="24"/>
                <w:highlight w:val="none"/>
                <w:u w:val="none"/>
              </w:rPr>
              <w:t>广安区、华蓥市、邻水县</w:t>
            </w:r>
          </w:p>
        </w:tc>
        <w:tc>
          <w:tcPr>
            <w:tcW w:w="2419" w:type="dxa"/>
            <w:vAlign w:val="center"/>
          </w:tcPr>
          <w:p w14:paraId="7D90BF40">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按约定时间上门收取标本、取发报告</w:t>
            </w:r>
          </w:p>
        </w:tc>
        <w:tc>
          <w:tcPr>
            <w:tcW w:w="1752" w:type="dxa"/>
            <w:vMerge w:val="restart"/>
            <w:vAlign w:val="center"/>
          </w:tcPr>
          <w:p w14:paraId="091F4BA8">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r>
              <w:rPr>
                <w:rFonts w:hint="default" w:ascii="宋体" w:hAnsi="宋体" w:cs="宋体"/>
                <w:b w:val="0"/>
                <w:bCs/>
                <w:color w:val="auto"/>
                <w:sz w:val="24"/>
                <w:highlight w:val="none"/>
              </w:rPr>
              <w:t>线路服务</w:t>
            </w:r>
            <w:r>
              <w:rPr>
                <w:rFonts w:hint="eastAsia" w:ascii="宋体" w:hAnsi="宋体" w:cs="宋体"/>
                <w:b w:val="0"/>
                <w:bCs/>
                <w:color w:val="auto"/>
                <w:sz w:val="24"/>
                <w:highlight w:val="none"/>
              </w:rPr>
              <w:t>周期</w:t>
            </w:r>
          </w:p>
        </w:tc>
      </w:tr>
      <w:tr w14:paraId="49BA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0692E0E9">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B线</w:t>
            </w:r>
          </w:p>
          <w:p w14:paraId="63F16709">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周二、周四、周六</w:t>
            </w:r>
          </w:p>
        </w:tc>
        <w:tc>
          <w:tcPr>
            <w:tcW w:w="2501" w:type="dxa"/>
            <w:vAlign w:val="center"/>
          </w:tcPr>
          <w:p w14:paraId="414B0E39">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武</w:t>
            </w:r>
            <w:r>
              <w:rPr>
                <w:rFonts w:hint="default"/>
                <w:color w:val="auto"/>
                <w:sz w:val="24"/>
                <w:szCs w:val="24"/>
                <w:highlight w:val="none"/>
              </w:rPr>
              <w:t>胜县、岳池县</w:t>
            </w:r>
          </w:p>
        </w:tc>
        <w:tc>
          <w:tcPr>
            <w:tcW w:w="2419" w:type="dxa"/>
            <w:vAlign w:val="center"/>
          </w:tcPr>
          <w:p w14:paraId="63A834C5">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按约定时间上门收取标本、取发报告</w:t>
            </w:r>
          </w:p>
        </w:tc>
        <w:tc>
          <w:tcPr>
            <w:tcW w:w="1752" w:type="dxa"/>
            <w:vMerge w:val="continue"/>
            <w:vAlign w:val="center"/>
          </w:tcPr>
          <w:p w14:paraId="78E681CC">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p>
        </w:tc>
      </w:tr>
      <w:tr w14:paraId="2B0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18C029CD">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C线</w:t>
            </w:r>
          </w:p>
          <w:p w14:paraId="58910F76">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周三</w:t>
            </w:r>
          </w:p>
        </w:tc>
        <w:tc>
          <w:tcPr>
            <w:tcW w:w="2501" w:type="dxa"/>
            <w:vAlign w:val="center"/>
          </w:tcPr>
          <w:p w14:paraId="244E385F">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default" w:ascii="宋体" w:hAnsi="宋体" w:cs="宋体"/>
                <w:b w:val="0"/>
                <w:bCs/>
                <w:color w:val="auto"/>
                <w:sz w:val="24"/>
                <w:szCs w:val="24"/>
                <w:highlight w:val="none"/>
              </w:rPr>
              <w:t>前锋区</w:t>
            </w:r>
          </w:p>
        </w:tc>
        <w:tc>
          <w:tcPr>
            <w:tcW w:w="2419" w:type="dxa"/>
            <w:vAlign w:val="center"/>
          </w:tcPr>
          <w:p w14:paraId="295E7E28">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szCs w:val="24"/>
                <w:highlight w:val="none"/>
              </w:rPr>
            </w:pPr>
            <w:r>
              <w:rPr>
                <w:rFonts w:hint="eastAsia" w:ascii="宋体" w:hAnsi="宋体" w:cs="宋体"/>
                <w:b w:val="0"/>
                <w:bCs/>
                <w:color w:val="auto"/>
                <w:sz w:val="24"/>
                <w:szCs w:val="24"/>
                <w:highlight w:val="none"/>
              </w:rPr>
              <w:t>按约定时间上门收取标本、取发报告</w:t>
            </w:r>
          </w:p>
        </w:tc>
        <w:tc>
          <w:tcPr>
            <w:tcW w:w="1752" w:type="dxa"/>
            <w:vMerge w:val="continue"/>
            <w:vAlign w:val="center"/>
          </w:tcPr>
          <w:p w14:paraId="7A18AB73">
            <w:pPr>
              <w:keepNext w:val="0"/>
              <w:keepLines w:val="0"/>
              <w:widowControl/>
              <w:suppressLineNumbers w:val="0"/>
              <w:spacing w:before="0" w:beforeAutospacing="0" w:after="0" w:afterAutospacing="0"/>
              <w:ind w:left="0" w:right="0"/>
              <w:jc w:val="center"/>
              <w:textAlignment w:val="bottom"/>
              <w:rPr>
                <w:rFonts w:hint="default" w:ascii="宋体" w:hAnsi="宋体" w:cs="宋体"/>
                <w:b w:val="0"/>
                <w:bCs/>
                <w:color w:val="auto"/>
                <w:sz w:val="24"/>
                <w:highlight w:val="none"/>
              </w:rPr>
            </w:pPr>
          </w:p>
        </w:tc>
      </w:tr>
    </w:tbl>
    <w:p w14:paraId="4A82195D">
      <w:pPr>
        <w:widowControl/>
        <w:jc w:val="left"/>
        <w:textAlignment w:val="bottom"/>
        <w:rPr>
          <w:rFonts w:ascii="宋体" w:hAnsi="宋体" w:cs="宋体"/>
          <w:b w:val="0"/>
          <w:bCs/>
          <w:color w:val="auto"/>
          <w:kern w:val="0"/>
          <w:sz w:val="24"/>
          <w:highlight w:val="none"/>
          <w:lang w:bidi="ar"/>
        </w:rPr>
      </w:pP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w:t>
      </w:r>
      <w:r>
        <w:rPr>
          <w:rFonts w:hint="eastAsia" w:ascii="宋体" w:hAnsi="宋体" w:cs="宋体"/>
          <w:b/>
          <w:color w:val="auto"/>
          <w:sz w:val="24"/>
          <w:highlight w:val="none"/>
          <w:lang w:eastAsia="zh-CN"/>
        </w:rPr>
        <w:t>，</w:t>
      </w:r>
      <w:r>
        <w:rPr>
          <w:rFonts w:hint="eastAsia" w:ascii="宋体" w:hAnsi="宋体" w:cs="宋体"/>
          <w:b/>
          <w:color w:val="auto"/>
          <w:sz w:val="24"/>
          <w:highlight w:val="none"/>
        </w:rPr>
        <w:t>若</w:t>
      </w:r>
      <w:r>
        <w:rPr>
          <w:rFonts w:ascii="宋体" w:hAnsi="宋体" w:cs="宋体"/>
          <w:b/>
          <w:color w:val="auto"/>
          <w:sz w:val="24"/>
          <w:highlight w:val="none"/>
        </w:rPr>
        <w:t>响应参数与投标产品实物不符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8"/>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41"/>
        <w:rPr>
          <w:color w:val="auto"/>
          <w:highlight w:val="none"/>
        </w:rPr>
      </w:pPr>
      <w:bookmarkStart w:id="42" w:name="_Toc134536605"/>
      <w:r>
        <w:rPr>
          <w:rFonts w:hint="eastAsia"/>
          <w:color w:val="auto"/>
          <w:highlight w:val="none"/>
        </w:rPr>
        <w:t>第五章  评审办法</w:t>
      </w:r>
      <w:bookmarkEnd w:id="42"/>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8"/>
        <w:rPr>
          <w:color w:val="auto"/>
          <w:highlight w:val="none"/>
        </w:rPr>
      </w:pPr>
    </w:p>
    <w:bookmarkEnd w:id="43"/>
    <w:p w14:paraId="1032D1AA">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868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40987F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93090D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有效的营业执照（经营范围应包含道路运输业或相关范围）</w:t>
            </w:r>
          </w:p>
        </w:tc>
        <w:tc>
          <w:tcPr>
            <w:tcW w:w="850" w:type="dxa"/>
            <w:vAlign w:val="center"/>
          </w:tcPr>
          <w:p w14:paraId="12F4425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044A16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183682422"/>
      <w:bookmarkEnd w:id="45"/>
      <w:bookmarkStart w:id="46" w:name="_Toc217446104"/>
      <w:bookmarkEnd w:id="46"/>
      <w:bookmarkStart w:id="47" w:name="_Toc183582287"/>
      <w:bookmarkEnd w:id="47"/>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4"/>
        <w:tblW w:w="9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500"/>
        <w:gridCol w:w="1840"/>
      </w:tblGrid>
      <w:tr w14:paraId="35E8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w:t>
            </w:r>
            <w:r>
              <w:rPr>
                <w:rFonts w:hint="eastAsia" w:ascii="宋体" w:hAnsi="宋体" w:cs="宋体"/>
                <w:color w:val="auto"/>
                <w:kern w:val="0"/>
                <w:sz w:val="20"/>
                <w:szCs w:val="20"/>
                <w:highlight w:val="none"/>
                <w:lang w:val="en-US" w:eastAsia="zh-CN"/>
              </w:rPr>
              <w:t>22</w:t>
            </w:r>
            <w:r>
              <w:rPr>
                <w:rFonts w:hint="eastAsia" w:ascii="宋体" w:hAnsi="宋体" w:cs="宋体"/>
                <w:color w:val="auto"/>
                <w:kern w:val="0"/>
                <w:sz w:val="20"/>
                <w:szCs w:val="20"/>
                <w:highlight w:val="none"/>
              </w:rPr>
              <w:t>%</w:t>
            </w:r>
          </w:p>
        </w:tc>
        <w:tc>
          <w:tcPr>
            <w:tcW w:w="740" w:type="dxa"/>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22</w:t>
            </w:r>
          </w:p>
        </w:tc>
        <w:tc>
          <w:tcPr>
            <w:tcW w:w="5500" w:type="dxa"/>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满足公开采购文件要求且汇总价格最低的报价为基准价，其价格分为满分。其他供应商的价格分统一按照下列公式计算：报价得分=(基准价／报价)* </w:t>
            </w:r>
            <w:r>
              <w:rPr>
                <w:rFonts w:hint="eastAsia" w:ascii="宋体" w:hAnsi="宋体" w:cs="宋体"/>
                <w:color w:val="auto"/>
                <w:kern w:val="0"/>
                <w:sz w:val="20"/>
                <w:szCs w:val="20"/>
                <w:highlight w:val="none"/>
                <w:lang w:val="en-US" w:eastAsia="zh-CN"/>
              </w:rPr>
              <w:t>22</w:t>
            </w:r>
            <w:r>
              <w:rPr>
                <w:rFonts w:hint="eastAsia" w:ascii="宋体" w:hAnsi="宋体" w:cs="宋体"/>
                <w:color w:val="auto"/>
                <w:kern w:val="0"/>
                <w:sz w:val="20"/>
                <w:szCs w:val="20"/>
                <w:highlight w:val="none"/>
              </w:rPr>
              <w:t>%*100</w:t>
            </w:r>
          </w:p>
        </w:tc>
        <w:tc>
          <w:tcPr>
            <w:tcW w:w="1840" w:type="dxa"/>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80" w:type="dxa"/>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shd w:val="clear" w:color="auto" w:fill="auto"/>
            <w:vAlign w:val="center"/>
          </w:tcPr>
          <w:p w14:paraId="094AA1E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综合实力</w:t>
            </w:r>
            <w:r>
              <w:rPr>
                <w:rFonts w:hint="eastAsia" w:ascii="宋体" w:hAnsi="宋体" w:cs="宋体"/>
                <w:color w:val="auto"/>
                <w:kern w:val="0"/>
                <w:sz w:val="20"/>
                <w:szCs w:val="20"/>
                <w:highlight w:val="none"/>
                <w:lang w:val="en-US" w:eastAsia="zh-CN"/>
              </w:rPr>
              <w:t>12</w:t>
            </w:r>
            <w:r>
              <w:rPr>
                <w:rFonts w:hint="eastAsia" w:ascii="宋体" w:hAnsi="宋体" w:cs="宋体"/>
                <w:color w:val="auto"/>
                <w:kern w:val="0"/>
                <w:sz w:val="20"/>
                <w:szCs w:val="20"/>
                <w:highlight w:val="none"/>
              </w:rPr>
              <w:t>%</w:t>
            </w:r>
          </w:p>
        </w:tc>
        <w:tc>
          <w:tcPr>
            <w:tcW w:w="740" w:type="dxa"/>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shd w:val="clear" w:color="auto" w:fill="auto"/>
            <w:vAlign w:val="center"/>
          </w:tcPr>
          <w:p w14:paraId="02DBF16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eastAsia="zh-CN"/>
              </w:rPr>
              <w:t>为本项目</w:t>
            </w:r>
            <w:r>
              <w:rPr>
                <w:rFonts w:hint="eastAsia" w:ascii="宋体" w:hAnsi="宋体" w:cs="宋体"/>
                <w:color w:val="auto"/>
                <w:kern w:val="0"/>
                <w:sz w:val="20"/>
                <w:szCs w:val="20"/>
                <w:highlight w:val="none"/>
              </w:rPr>
              <w:t>配备</w:t>
            </w:r>
            <w:r>
              <w:rPr>
                <w:rFonts w:hint="eastAsia" w:ascii="宋体" w:hAnsi="宋体" w:cs="宋体"/>
                <w:color w:val="auto"/>
                <w:kern w:val="0"/>
                <w:sz w:val="20"/>
                <w:szCs w:val="20"/>
                <w:highlight w:val="none"/>
                <w:lang w:eastAsia="zh-CN"/>
              </w:rPr>
              <w:t>的</w:t>
            </w:r>
            <w:r>
              <w:rPr>
                <w:rFonts w:hint="eastAsia" w:ascii="宋体" w:hAnsi="宋体" w:cs="宋体"/>
                <w:color w:val="auto"/>
                <w:kern w:val="0"/>
                <w:sz w:val="20"/>
                <w:szCs w:val="20"/>
                <w:highlight w:val="none"/>
              </w:rPr>
              <w:t>专业标本运输箱带有GPS定位及温度监控系统，且获得国</w:t>
            </w:r>
            <w:bookmarkStart w:id="59" w:name="_GoBack"/>
            <w:bookmarkEnd w:id="59"/>
            <w:r>
              <w:rPr>
                <w:rFonts w:hint="eastAsia" w:ascii="宋体" w:hAnsi="宋体" w:cs="宋体"/>
                <w:color w:val="auto"/>
                <w:kern w:val="0"/>
                <w:sz w:val="20"/>
                <w:szCs w:val="20"/>
                <w:highlight w:val="none"/>
              </w:rPr>
              <w:t>家知识产权认证得6分，提供</w:t>
            </w:r>
            <w:r>
              <w:rPr>
                <w:rFonts w:hint="eastAsia" w:ascii="宋体" w:hAnsi="宋体" w:cs="宋体"/>
                <w:color w:val="auto"/>
                <w:kern w:val="0"/>
                <w:sz w:val="20"/>
                <w:szCs w:val="20"/>
                <w:highlight w:val="none"/>
                <w:lang w:eastAsia="zh-CN"/>
              </w:rPr>
              <w:t>有效期内</w:t>
            </w:r>
            <w:r>
              <w:rPr>
                <w:rFonts w:hint="eastAsia" w:ascii="宋体" w:hAnsi="宋体" w:cs="宋体"/>
                <w:color w:val="auto"/>
                <w:kern w:val="0"/>
                <w:sz w:val="20"/>
                <w:szCs w:val="20"/>
                <w:highlight w:val="none"/>
              </w:rPr>
              <w:t>证书</w:t>
            </w:r>
            <w:r>
              <w:rPr>
                <w:rFonts w:hint="eastAsia" w:ascii="宋体" w:hAnsi="宋体" w:cs="宋体"/>
                <w:color w:val="auto"/>
                <w:kern w:val="0"/>
                <w:sz w:val="20"/>
                <w:szCs w:val="20"/>
                <w:highlight w:val="none"/>
                <w:lang w:eastAsia="zh-CN"/>
              </w:rPr>
              <w:t>复印件并加盖供应商公章（包括专利、商标、著作权等其中一项即可）</w:t>
            </w:r>
            <w:r>
              <w:rPr>
                <w:rFonts w:hint="eastAsia" w:ascii="宋体" w:hAnsi="宋体" w:cs="宋体"/>
                <w:color w:val="auto"/>
                <w:kern w:val="0"/>
                <w:sz w:val="20"/>
                <w:szCs w:val="20"/>
                <w:highlight w:val="none"/>
              </w:rPr>
              <w:t xml:space="preserve">，未提供不得分。 </w:t>
            </w:r>
          </w:p>
          <w:p w14:paraId="5A5BC32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2、车辆使用情况（6分）</w:t>
            </w:r>
          </w:p>
          <w:p w14:paraId="660B16C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评审标准： </w:t>
            </w:r>
          </w:p>
          <w:p w14:paraId="4861A4D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1、车辆使用年限不高于</w:t>
            </w:r>
            <w:r>
              <w:rPr>
                <w:rFonts w:hint="default" w:ascii="宋体" w:hAnsi="宋体" w:cs="宋体"/>
                <w:color w:val="auto"/>
                <w:kern w:val="0"/>
                <w:sz w:val="20"/>
                <w:szCs w:val="20"/>
                <w:highlight w:val="none"/>
                <w:lang w:val="en-US"/>
              </w:rPr>
              <w:t xml:space="preserve"> 2 </w:t>
            </w:r>
            <w:r>
              <w:rPr>
                <w:rFonts w:hint="eastAsia" w:ascii="宋体" w:hAnsi="宋体" w:cs="宋体"/>
                <w:color w:val="auto"/>
                <w:kern w:val="0"/>
                <w:sz w:val="20"/>
                <w:szCs w:val="20"/>
                <w:highlight w:val="none"/>
              </w:rPr>
              <w:t xml:space="preserve">年的得 6 分； </w:t>
            </w:r>
          </w:p>
          <w:p w14:paraId="5FE8D98A">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2、车辆使用年限</w:t>
            </w:r>
            <w:r>
              <w:rPr>
                <w:rFonts w:hint="eastAsia" w:ascii="宋体" w:hAnsi="宋体" w:cs="宋体"/>
                <w:color w:val="auto"/>
                <w:kern w:val="0"/>
                <w:sz w:val="20"/>
                <w:szCs w:val="20"/>
                <w:highlight w:val="none"/>
                <w:lang w:eastAsia="zh-CN"/>
              </w:rPr>
              <w:t>高于</w:t>
            </w:r>
            <w:r>
              <w:rPr>
                <w:rFonts w:hint="eastAsia" w:ascii="宋体" w:hAnsi="宋体" w:cs="宋体"/>
                <w:color w:val="auto"/>
                <w:kern w:val="0"/>
                <w:sz w:val="20"/>
                <w:szCs w:val="20"/>
                <w:highlight w:val="none"/>
                <w:lang w:val="en-US" w:eastAsia="zh-CN"/>
              </w:rPr>
              <w:t>2年</w:t>
            </w:r>
            <w:r>
              <w:rPr>
                <w:rFonts w:hint="eastAsia" w:ascii="宋体" w:hAnsi="宋体" w:cs="宋体"/>
                <w:color w:val="auto"/>
                <w:kern w:val="0"/>
                <w:sz w:val="20"/>
                <w:szCs w:val="20"/>
                <w:highlight w:val="none"/>
              </w:rPr>
              <w:t>不高于</w:t>
            </w:r>
            <w:r>
              <w:rPr>
                <w:rFonts w:hint="default" w:ascii="宋体" w:hAnsi="宋体" w:cs="宋体"/>
                <w:color w:val="auto"/>
                <w:kern w:val="0"/>
                <w:sz w:val="20"/>
                <w:szCs w:val="20"/>
                <w:highlight w:val="none"/>
                <w:lang w:val="en-US"/>
              </w:rPr>
              <w:t xml:space="preserve"> 4 </w:t>
            </w:r>
            <w:r>
              <w:rPr>
                <w:rFonts w:hint="eastAsia" w:ascii="宋体" w:hAnsi="宋体" w:cs="宋体"/>
                <w:color w:val="auto"/>
                <w:kern w:val="0"/>
                <w:sz w:val="20"/>
                <w:szCs w:val="20"/>
                <w:highlight w:val="none"/>
              </w:rPr>
              <w:t xml:space="preserve">年的得 4 分； </w:t>
            </w:r>
          </w:p>
          <w:p w14:paraId="1BE292D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3、车辆使用年限</w:t>
            </w:r>
            <w:r>
              <w:rPr>
                <w:rFonts w:hint="eastAsia" w:ascii="宋体" w:hAnsi="宋体" w:cs="宋体"/>
                <w:color w:val="auto"/>
                <w:kern w:val="0"/>
                <w:sz w:val="20"/>
                <w:szCs w:val="20"/>
                <w:highlight w:val="none"/>
                <w:lang w:eastAsia="zh-CN"/>
              </w:rPr>
              <w:t>高于</w:t>
            </w:r>
            <w:r>
              <w:rPr>
                <w:rFonts w:hint="eastAsia" w:ascii="宋体" w:hAnsi="宋体" w:cs="宋体"/>
                <w:color w:val="auto"/>
                <w:kern w:val="0"/>
                <w:sz w:val="20"/>
                <w:szCs w:val="20"/>
                <w:highlight w:val="none"/>
                <w:lang w:val="en-US" w:eastAsia="zh-CN"/>
              </w:rPr>
              <w:t>4年</w:t>
            </w:r>
            <w:r>
              <w:rPr>
                <w:rFonts w:hint="eastAsia" w:ascii="宋体" w:hAnsi="宋体" w:cs="宋体"/>
                <w:color w:val="auto"/>
                <w:kern w:val="0"/>
                <w:sz w:val="20"/>
                <w:szCs w:val="20"/>
                <w:highlight w:val="none"/>
              </w:rPr>
              <w:t>不高于</w:t>
            </w:r>
            <w:r>
              <w:rPr>
                <w:rFonts w:hint="default" w:ascii="宋体" w:hAnsi="宋体" w:cs="宋体"/>
                <w:color w:val="auto"/>
                <w:kern w:val="0"/>
                <w:sz w:val="20"/>
                <w:szCs w:val="20"/>
                <w:highlight w:val="none"/>
                <w:lang w:val="en-US"/>
              </w:rPr>
              <w:t xml:space="preserve"> 6 </w:t>
            </w:r>
            <w:r>
              <w:rPr>
                <w:rFonts w:hint="eastAsia" w:ascii="宋体" w:hAnsi="宋体" w:cs="宋体"/>
                <w:color w:val="auto"/>
                <w:kern w:val="0"/>
                <w:sz w:val="20"/>
                <w:szCs w:val="20"/>
                <w:highlight w:val="none"/>
              </w:rPr>
              <w:t xml:space="preserve">年的得 2 分； </w:t>
            </w:r>
          </w:p>
          <w:p w14:paraId="667A4322">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4、车辆使用年限高于</w:t>
            </w:r>
            <w:r>
              <w:rPr>
                <w:rFonts w:hint="default" w:ascii="宋体" w:hAnsi="宋体" w:cs="宋体"/>
                <w:color w:val="auto"/>
                <w:kern w:val="0"/>
                <w:sz w:val="20"/>
                <w:szCs w:val="20"/>
                <w:highlight w:val="none"/>
                <w:lang w:val="en-US"/>
              </w:rPr>
              <w:t xml:space="preserve"> 6 </w:t>
            </w:r>
            <w:r>
              <w:rPr>
                <w:rFonts w:hint="eastAsia" w:ascii="宋体" w:hAnsi="宋体" w:cs="宋体"/>
                <w:color w:val="auto"/>
                <w:kern w:val="0"/>
                <w:sz w:val="20"/>
                <w:szCs w:val="20"/>
                <w:highlight w:val="none"/>
              </w:rPr>
              <w:t xml:space="preserve">年的得 0 分； </w:t>
            </w:r>
          </w:p>
          <w:p w14:paraId="41560654">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证明材料：提供车辆图片（含车牌号）以及车辆使用年限承诺函（格式自拟）加盖公章。未提供或提供不完整不得分。</w:t>
            </w:r>
          </w:p>
        </w:tc>
        <w:tc>
          <w:tcPr>
            <w:tcW w:w="1840" w:type="dxa"/>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79B6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80" w:type="dxa"/>
            <w:shd w:val="clear" w:color="auto" w:fill="auto"/>
            <w:vAlign w:val="center"/>
          </w:tcPr>
          <w:p w14:paraId="5BC6941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shd w:val="clear" w:color="auto" w:fill="auto"/>
            <w:vAlign w:val="center"/>
          </w:tcPr>
          <w:p w14:paraId="0A2BB45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项目实施方案</w:t>
            </w:r>
            <w:r>
              <w:rPr>
                <w:rFonts w:hint="eastAsia" w:ascii="宋体" w:hAnsi="宋体" w:cs="宋体"/>
                <w:color w:val="auto"/>
                <w:kern w:val="0"/>
                <w:sz w:val="20"/>
                <w:szCs w:val="20"/>
                <w:highlight w:val="none"/>
                <w:lang w:val="en-US" w:eastAsia="zh-CN"/>
              </w:rPr>
              <w:t>30</w:t>
            </w:r>
            <w:r>
              <w:rPr>
                <w:rFonts w:hint="eastAsia" w:ascii="宋体" w:hAnsi="宋体" w:cs="宋体"/>
                <w:color w:val="auto"/>
                <w:kern w:val="0"/>
                <w:sz w:val="20"/>
                <w:szCs w:val="20"/>
                <w:highlight w:val="none"/>
              </w:rPr>
              <w:t>%</w:t>
            </w:r>
          </w:p>
        </w:tc>
        <w:tc>
          <w:tcPr>
            <w:tcW w:w="740" w:type="dxa"/>
            <w:shd w:val="clear" w:color="auto" w:fill="auto"/>
            <w:vAlign w:val="center"/>
          </w:tcPr>
          <w:p w14:paraId="1D45E5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30</w:t>
            </w:r>
          </w:p>
        </w:tc>
        <w:tc>
          <w:tcPr>
            <w:tcW w:w="5500" w:type="dxa"/>
            <w:shd w:val="clear" w:color="auto" w:fill="auto"/>
            <w:vAlign w:val="center"/>
          </w:tcPr>
          <w:p w14:paraId="41596B05">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对供应商针对本项目制定的项目实施方案综合评审，项目实施方案包括但不限于①对重难点提出相关合理化建议；②物流体系规划、运行模式；③服务人员配置情况；④服务人员培训管理；⑤对本项目的重难点分析；方案内容完全满足要求的得30分；漏项的、不合理的每项扣</w:t>
            </w:r>
            <w:r>
              <w:rPr>
                <w:rFonts w:hint="eastAsia" w:ascii="宋体" w:hAnsi="宋体" w:cs="宋体"/>
                <w:color w:val="auto"/>
                <w:kern w:val="0"/>
                <w:sz w:val="20"/>
                <w:szCs w:val="20"/>
                <w:highlight w:val="none"/>
                <w:lang w:val="en-US" w:eastAsia="zh-CN"/>
              </w:rPr>
              <w:t>6</w:t>
            </w:r>
            <w:r>
              <w:rPr>
                <w:rFonts w:hint="eastAsia" w:ascii="宋体" w:hAnsi="宋体" w:cs="宋体"/>
                <w:color w:val="auto"/>
                <w:kern w:val="0"/>
                <w:sz w:val="20"/>
                <w:szCs w:val="20"/>
                <w:highlight w:val="none"/>
              </w:rPr>
              <w:t>分；有缺陷的每项扣</w:t>
            </w: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分，直至该项扣完为止。</w:t>
            </w:r>
          </w:p>
        </w:tc>
        <w:tc>
          <w:tcPr>
            <w:tcW w:w="1840" w:type="dxa"/>
            <w:shd w:val="clear" w:color="auto" w:fill="auto"/>
            <w:vAlign w:val="center"/>
          </w:tcPr>
          <w:p w14:paraId="46A95F6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2D09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6D23455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shd w:val="clear" w:color="auto" w:fill="auto"/>
            <w:vAlign w:val="center"/>
          </w:tcPr>
          <w:p w14:paraId="56823B6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eastAsia="zh-CN"/>
              </w:rPr>
              <w:t>服务应急措施</w:t>
            </w:r>
            <w:r>
              <w:rPr>
                <w:rFonts w:hint="eastAsia" w:ascii="宋体" w:hAnsi="宋体" w:cs="宋体"/>
                <w:color w:val="auto"/>
                <w:kern w:val="0"/>
                <w:sz w:val="20"/>
                <w:szCs w:val="20"/>
                <w:highlight w:val="none"/>
                <w:lang w:val="en-US" w:eastAsia="zh-CN"/>
              </w:rPr>
              <w:t>24</w:t>
            </w:r>
            <w:r>
              <w:rPr>
                <w:rFonts w:hint="eastAsia" w:ascii="宋体" w:hAnsi="宋体" w:cs="宋体"/>
                <w:color w:val="auto"/>
                <w:kern w:val="0"/>
                <w:sz w:val="20"/>
                <w:szCs w:val="20"/>
                <w:highlight w:val="none"/>
              </w:rPr>
              <w:t>%</w:t>
            </w:r>
          </w:p>
        </w:tc>
        <w:tc>
          <w:tcPr>
            <w:tcW w:w="740" w:type="dxa"/>
            <w:shd w:val="clear" w:color="auto" w:fill="auto"/>
            <w:vAlign w:val="center"/>
          </w:tcPr>
          <w:p w14:paraId="4A8622D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5500" w:type="dxa"/>
            <w:shd w:val="clear" w:color="auto" w:fill="auto"/>
            <w:vAlign w:val="center"/>
          </w:tcPr>
          <w:p w14:paraId="0525E2F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对供应商针对本项目制定的项目服务应急措施综合评审，包括但不限于①物品器械交接应急措施；②运输安全保障措施；③常态异常情况处置措施。方案内容完全满足要求的得24分；漏项的、不合理的每项扣8分；有缺陷的每项扣4分，直至该项扣完为止。</w:t>
            </w:r>
          </w:p>
        </w:tc>
        <w:tc>
          <w:tcPr>
            <w:tcW w:w="1840" w:type="dxa"/>
            <w:shd w:val="clear" w:color="auto" w:fill="auto"/>
            <w:vAlign w:val="center"/>
          </w:tcPr>
          <w:p w14:paraId="09E5DBE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C66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0" w:type="dxa"/>
            <w:vAlign w:val="center"/>
          </w:tcPr>
          <w:p w14:paraId="6B3733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5</w:t>
            </w:r>
          </w:p>
        </w:tc>
        <w:tc>
          <w:tcPr>
            <w:tcW w:w="1080" w:type="dxa"/>
            <w:vAlign w:val="center"/>
          </w:tcPr>
          <w:p w14:paraId="09F101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业绩证明</w:t>
            </w:r>
            <w:r>
              <w:rPr>
                <w:rFonts w:hint="eastAsia" w:ascii="宋体" w:hAnsi="宋体" w:cs="宋体"/>
                <w:color w:val="auto"/>
                <w:kern w:val="0"/>
                <w:sz w:val="20"/>
                <w:szCs w:val="20"/>
                <w:highlight w:val="none"/>
                <w:lang w:val="en-US" w:eastAsia="zh-CN"/>
              </w:rPr>
              <w:t>12%</w:t>
            </w:r>
          </w:p>
        </w:tc>
        <w:tc>
          <w:tcPr>
            <w:tcW w:w="740" w:type="dxa"/>
            <w:vAlign w:val="center"/>
          </w:tcPr>
          <w:p w14:paraId="4C4FA01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shd w:val="clear" w:color="auto" w:fill="auto"/>
            <w:vAlign w:val="center"/>
          </w:tcPr>
          <w:p w14:paraId="4CCABFA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rPr>
              <w:t>一个</w:t>
            </w:r>
            <w:r>
              <w:rPr>
                <w:rFonts w:hint="eastAsia" w:ascii="宋体" w:hAnsi="宋体" w:cs="宋体"/>
                <w:color w:val="auto"/>
                <w:kern w:val="0"/>
                <w:sz w:val="20"/>
                <w:szCs w:val="20"/>
                <w:highlight w:val="none"/>
                <w:lang w:eastAsia="zh-CN"/>
              </w:rPr>
              <w:t>供应商的</w:t>
            </w:r>
            <w:r>
              <w:rPr>
                <w:rFonts w:hint="eastAsia" w:ascii="宋体" w:hAnsi="宋体" w:cs="宋体"/>
                <w:color w:val="auto"/>
                <w:kern w:val="0"/>
                <w:sz w:val="20"/>
                <w:szCs w:val="20"/>
                <w:highlight w:val="none"/>
              </w:rPr>
              <w:t>相关物品运输服务业绩得3分，最多得12分</w:t>
            </w:r>
            <w:r>
              <w:rPr>
                <w:rFonts w:hint="eastAsia" w:ascii="宋体" w:hAnsi="宋体" w:cs="宋体"/>
                <w:color w:val="auto"/>
                <w:kern w:val="0"/>
                <w:sz w:val="20"/>
                <w:szCs w:val="20"/>
                <w:highlight w:val="none"/>
                <w:lang w:eastAsia="zh-CN"/>
              </w:rPr>
              <w:t>。</w:t>
            </w:r>
          </w:p>
          <w:p w14:paraId="0E4F40E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证明文件：须提供中标通知书或服务合同关键页</w:t>
            </w:r>
            <w:r>
              <w:rPr>
                <w:rFonts w:hint="eastAsia"/>
                <w:color w:val="auto"/>
                <w:highlight w:val="none"/>
                <w:lang w:eastAsia="zh-CN"/>
              </w:rPr>
              <w:t>（至少包括合同的甲乙双方盖章页）</w:t>
            </w:r>
            <w:r>
              <w:rPr>
                <w:rFonts w:hint="eastAsia" w:ascii="宋体" w:hAnsi="宋体" w:cs="宋体"/>
                <w:color w:val="auto"/>
                <w:kern w:val="0"/>
                <w:sz w:val="20"/>
                <w:szCs w:val="20"/>
                <w:highlight w:val="none"/>
                <w:lang w:eastAsia="zh-CN"/>
              </w:rPr>
              <w:t>复印件</w:t>
            </w:r>
            <w:r>
              <w:rPr>
                <w:rFonts w:hint="eastAsia" w:ascii="宋体" w:hAnsi="宋体" w:cs="宋体"/>
                <w:color w:val="auto"/>
                <w:kern w:val="0"/>
                <w:sz w:val="20"/>
                <w:szCs w:val="20"/>
                <w:highlight w:val="none"/>
              </w:rPr>
              <w:t>加盖公章。</w:t>
            </w:r>
          </w:p>
        </w:tc>
        <w:tc>
          <w:tcPr>
            <w:tcW w:w="1840" w:type="dxa"/>
            <w:vAlign w:val="center"/>
          </w:tcPr>
          <w:p w14:paraId="68EF6FB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618B41BE">
      <w:pPr>
        <w:pStyle w:val="149"/>
        <w:ind w:right="439"/>
        <w:jc w:val="center"/>
        <w:rPr>
          <w:rFonts w:ascii="黑体" w:hAnsi="黑体" w:eastAsia="黑体"/>
          <w:b/>
          <w:color w:val="auto"/>
          <w:highlight w:val="none"/>
        </w:rPr>
      </w:pPr>
      <w:bookmarkStart w:id="50" w:name="_Toc217446061"/>
      <w:bookmarkStart w:id="51" w:name="_Toc217446105"/>
      <w:bookmarkStart w:id="52" w:name="_Toc208849022"/>
      <w:bookmarkStart w:id="53" w:name="_Toc183582297"/>
      <w:bookmarkStart w:id="54" w:name="_Toc183682432"/>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30899"/>
      <w:bookmarkStart w:id="57" w:name="_Toc134536607"/>
      <w:bookmarkStart w:id="58" w:name="_Toc11901"/>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9"/>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9"/>
      <w:framePr w:wrap="around" w:vAnchor="text" w:hAnchor="margin" w:xAlign="right" w:y="1"/>
      <w:rPr>
        <w:rStyle w:val="48"/>
      </w:rPr>
    </w:pPr>
    <w:r>
      <w:fldChar w:fldCharType="begin"/>
    </w:r>
    <w:r>
      <w:rPr>
        <w:rStyle w:val="48"/>
      </w:rPr>
      <w:instrText xml:space="preserve">PAGE  </w:instrText>
    </w:r>
    <w:r>
      <w:fldChar w:fldCharType="end"/>
    </w:r>
  </w:p>
  <w:p w14:paraId="442187BB">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BD"/>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D80399"/>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442D45"/>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3CA12D3"/>
    <w:rsid w:val="147E3FD5"/>
    <w:rsid w:val="14CE3549"/>
    <w:rsid w:val="14E24037"/>
    <w:rsid w:val="151B2A92"/>
    <w:rsid w:val="154B17F0"/>
    <w:rsid w:val="157100C9"/>
    <w:rsid w:val="15A25A23"/>
    <w:rsid w:val="16277BF7"/>
    <w:rsid w:val="164E610E"/>
    <w:rsid w:val="16775A33"/>
    <w:rsid w:val="16FB4C9A"/>
    <w:rsid w:val="17662E4D"/>
    <w:rsid w:val="179130E9"/>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67168E"/>
    <w:rsid w:val="20910269"/>
    <w:rsid w:val="22117EC4"/>
    <w:rsid w:val="22824E3E"/>
    <w:rsid w:val="22C11743"/>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C8724E"/>
    <w:rsid w:val="2BE31C66"/>
    <w:rsid w:val="2C196C94"/>
    <w:rsid w:val="2C2A3EE0"/>
    <w:rsid w:val="2C585898"/>
    <w:rsid w:val="2C815890"/>
    <w:rsid w:val="2C904172"/>
    <w:rsid w:val="2C9756FA"/>
    <w:rsid w:val="2C993D95"/>
    <w:rsid w:val="2CC92FC1"/>
    <w:rsid w:val="2CE50742"/>
    <w:rsid w:val="2CED381A"/>
    <w:rsid w:val="2D877C51"/>
    <w:rsid w:val="2E1A39E0"/>
    <w:rsid w:val="2E1F376F"/>
    <w:rsid w:val="2E345E70"/>
    <w:rsid w:val="2E70173F"/>
    <w:rsid w:val="2EDE572C"/>
    <w:rsid w:val="2F6D2902"/>
    <w:rsid w:val="2F9100A2"/>
    <w:rsid w:val="304E470D"/>
    <w:rsid w:val="30FE7ACA"/>
    <w:rsid w:val="31020493"/>
    <w:rsid w:val="31443613"/>
    <w:rsid w:val="31A4747B"/>
    <w:rsid w:val="322D79E1"/>
    <w:rsid w:val="32D36347"/>
    <w:rsid w:val="32DD503E"/>
    <w:rsid w:val="33680E43"/>
    <w:rsid w:val="336D6D80"/>
    <w:rsid w:val="339A5D2A"/>
    <w:rsid w:val="34240DF7"/>
    <w:rsid w:val="34DD1D60"/>
    <w:rsid w:val="35DA54E6"/>
    <w:rsid w:val="35F95447"/>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71F86"/>
    <w:rsid w:val="3E5B6D21"/>
    <w:rsid w:val="3F7766BA"/>
    <w:rsid w:val="3F8F680D"/>
    <w:rsid w:val="3FE83F56"/>
    <w:rsid w:val="405D2BB1"/>
    <w:rsid w:val="409C6C06"/>
    <w:rsid w:val="412A1F70"/>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C1569A"/>
    <w:rsid w:val="4B440486"/>
    <w:rsid w:val="4B6F6A11"/>
    <w:rsid w:val="4BBD2646"/>
    <w:rsid w:val="4BD5013B"/>
    <w:rsid w:val="4BEA4569"/>
    <w:rsid w:val="4C5D7AEC"/>
    <w:rsid w:val="4CDB0637"/>
    <w:rsid w:val="4CEA656D"/>
    <w:rsid w:val="4D024936"/>
    <w:rsid w:val="4D224530"/>
    <w:rsid w:val="4D4D68B6"/>
    <w:rsid w:val="4DE632B9"/>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C454E8"/>
    <w:rsid w:val="53E45085"/>
    <w:rsid w:val="54514779"/>
    <w:rsid w:val="54930B62"/>
    <w:rsid w:val="54B9689A"/>
    <w:rsid w:val="54CE74B0"/>
    <w:rsid w:val="55277E08"/>
    <w:rsid w:val="55FF1B5A"/>
    <w:rsid w:val="56284E06"/>
    <w:rsid w:val="56913694"/>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1B0853"/>
    <w:rsid w:val="7A520005"/>
    <w:rsid w:val="7AC37C76"/>
    <w:rsid w:val="7B2A0F1E"/>
    <w:rsid w:val="7B5077D7"/>
    <w:rsid w:val="7B9B0B2D"/>
    <w:rsid w:val="7BD80C01"/>
    <w:rsid w:val="7C0926D6"/>
    <w:rsid w:val="7C3625E8"/>
    <w:rsid w:val="7C4D7D44"/>
    <w:rsid w:val="7C830734"/>
    <w:rsid w:val="7C9351E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caption"/>
    <w:basedOn w:val="1"/>
    <w:next w:val="1"/>
    <w:qFormat/>
    <w:uiPriority w:val="0"/>
    <w:rPr>
      <w:rFonts w:ascii="Cambria" w:hAnsi="Cambria" w:eastAsia="黑体" w:cs="Droid Sans"/>
      <w:sz w:val="20"/>
      <w:szCs w:val="20"/>
    </w:rPr>
  </w:style>
  <w:style w:type="paragraph" w:styleId="13">
    <w:name w:val="toc 7"/>
    <w:basedOn w:val="1"/>
    <w:next w:val="1"/>
    <w:qFormat/>
    <w:uiPriority w:val="0"/>
    <w:pPr>
      <w:ind w:left="1260"/>
      <w:jc w:val="left"/>
    </w:pPr>
    <w:rPr>
      <w:sz w:val="18"/>
      <w:szCs w:val="18"/>
    </w:rPr>
  </w:style>
  <w:style w:type="paragraph" w:styleId="14">
    <w:name w:val="Normal Indent"/>
    <w:basedOn w:val="1"/>
    <w:link w:val="184"/>
    <w:qFormat/>
    <w:uiPriority w:val="0"/>
    <w:pPr>
      <w:widowControl/>
      <w:ind w:firstLine="420"/>
      <w:jc w:val="left"/>
    </w:pPr>
    <w:rPr>
      <w:kern w:val="0"/>
      <w:sz w:val="20"/>
      <w:szCs w:val="20"/>
    </w:rPr>
  </w:style>
  <w:style w:type="paragraph" w:styleId="15">
    <w:name w:val="Document Map"/>
    <w:basedOn w:val="1"/>
    <w:link w:val="55"/>
    <w:qFormat/>
    <w:uiPriority w:val="0"/>
    <w:pPr>
      <w:shd w:val="clear" w:color="auto" w:fill="000080"/>
    </w:pPr>
  </w:style>
  <w:style w:type="paragraph" w:styleId="16">
    <w:name w:val="annotation text"/>
    <w:basedOn w:val="1"/>
    <w:link w:val="60"/>
    <w:qFormat/>
    <w:uiPriority w:val="0"/>
    <w:pPr>
      <w:adjustRightInd w:val="0"/>
      <w:spacing w:line="360" w:lineRule="atLeast"/>
      <w:jc w:val="left"/>
      <w:textAlignment w:val="baseline"/>
    </w:pPr>
    <w:rPr>
      <w:kern w:val="0"/>
      <w:sz w:val="2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9"/>
    <w:link w:val="95"/>
    <w:qFormat/>
    <w:uiPriority w:val="0"/>
    <w:pPr>
      <w:tabs>
        <w:tab w:val="left" w:pos="1500"/>
      </w:tabs>
      <w:spacing w:line="360" w:lineRule="auto"/>
    </w:pPr>
    <w:rPr>
      <w:rFonts w:ascii="宋体" w:hAnsi="宋体"/>
      <w:sz w:val="24"/>
    </w:rPr>
  </w:style>
  <w:style w:type="paragraph" w:styleId="19">
    <w:name w:val="Body Text First Indent"/>
    <w:basedOn w:val="18"/>
    <w:link w:val="102"/>
    <w:qFormat/>
    <w:uiPriority w:val="0"/>
    <w:pPr>
      <w:tabs>
        <w:tab w:val="clear" w:pos="1500"/>
      </w:tabs>
      <w:spacing w:after="120" w:line="240" w:lineRule="auto"/>
      <w:ind w:firstLine="420" w:firstLineChars="100"/>
    </w:pPr>
    <w:rPr>
      <w:sz w:val="21"/>
    </w:rPr>
  </w:style>
  <w:style w:type="paragraph" w:styleId="20">
    <w:name w:val="Body Text Indent"/>
    <w:basedOn w:val="1"/>
    <w:link w:val="84"/>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footer"/>
    <w:basedOn w:val="1"/>
    <w:link w:val="100"/>
    <w:qFormat/>
    <w:uiPriority w:val="0"/>
    <w:pPr>
      <w:tabs>
        <w:tab w:val="center" w:pos="4153"/>
        <w:tab w:val="right" w:pos="8306"/>
      </w:tabs>
      <w:snapToGrid w:val="0"/>
      <w:jc w:val="left"/>
    </w:pPr>
    <w:rPr>
      <w:sz w:val="18"/>
      <w:szCs w:val="18"/>
    </w:rPr>
  </w:style>
  <w:style w:type="paragraph" w:styleId="30">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30"/>
    <w:qFormat/>
    <w:uiPriority w:val="0"/>
    <w:pPr>
      <w:spacing w:after="120" w:line="480" w:lineRule="auto"/>
    </w:p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2">
    <w:name w:val="annotation subject"/>
    <w:basedOn w:val="16"/>
    <w:next w:val="16"/>
    <w:link w:val="117"/>
    <w:qFormat/>
    <w:uiPriority w:val="0"/>
    <w:pPr>
      <w:adjustRightInd/>
      <w:spacing w:line="240" w:lineRule="auto"/>
      <w:textAlignment w:val="auto"/>
    </w:pPr>
    <w:rPr>
      <w:b/>
      <w:bCs/>
      <w:kern w:val="2"/>
      <w:sz w:val="21"/>
      <w:szCs w:val="24"/>
    </w:rPr>
  </w:style>
  <w:style w:type="paragraph" w:styleId="43">
    <w:name w:val="Body Text First Indent 2"/>
    <w:basedOn w:val="20"/>
    <w:unhideWhenUsed/>
    <w:qFormat/>
    <w:uiPriority w:val="0"/>
    <w:pPr>
      <w:ind w:firstLine="420" w:firstLineChars="20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5"/>
    <w:qFormat/>
    <w:uiPriority w:val="0"/>
    <w:rPr>
      <w:kern w:val="2"/>
      <w:sz w:val="21"/>
      <w:szCs w:val="24"/>
      <w:shd w:val="clear" w:color="auto" w:fill="000080"/>
    </w:rPr>
  </w:style>
  <w:style w:type="character" w:customStyle="1" w:styleId="56">
    <w:name w:val="脚注文本 字符"/>
    <w:link w:val="34"/>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6"/>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20"/>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6"/>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4"/>
    <w:qFormat/>
    <w:uiPriority w:val="0"/>
    <w:rPr>
      <w:rFonts w:ascii="宋体" w:cs="Courier New"/>
      <w:kern w:val="2"/>
      <w:sz w:val="21"/>
      <w:szCs w:val="21"/>
    </w:rPr>
  </w:style>
  <w:style w:type="character" w:customStyle="1" w:styleId="91">
    <w:name w:val="副标题 字符"/>
    <w:link w:val="33"/>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8"/>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9"/>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19"/>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7"/>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41"/>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2"/>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30"/>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9"/>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6"/>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6"/>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4"/>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6"/>
    <w:qFormat/>
    <w:uiPriority w:val="0"/>
  </w:style>
  <w:style w:type="character" w:customStyle="1" w:styleId="189">
    <w:name w:val="item-name"/>
    <w:basedOn w:val="46"/>
    <w:qFormat/>
    <w:uiPriority w:val="0"/>
  </w:style>
  <w:style w:type="character" w:customStyle="1" w:styleId="190">
    <w:name w:val="item-name1"/>
    <w:basedOn w:val="46"/>
    <w:qFormat/>
    <w:uiPriority w:val="0"/>
  </w:style>
  <w:style w:type="character" w:customStyle="1" w:styleId="191">
    <w:name w:val="datetime"/>
    <w:basedOn w:val="46"/>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6"/>
    <w:semiHidden/>
    <w:unhideWhenUsed/>
    <w:qFormat/>
    <w:uiPriority w:val="99"/>
    <w:rPr>
      <w:color w:val="605E5C"/>
      <w:shd w:val="clear" w:color="auto" w:fill="E1DFDD"/>
    </w:rPr>
  </w:style>
  <w:style w:type="table" w:customStyle="1" w:styleId="195">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33</Pages>
  <Words>4918</Words>
  <Characters>5144</Characters>
  <Lines>202</Lines>
  <Paragraphs>56</Paragraphs>
  <TotalTime>36</TotalTime>
  <ScaleCrop>false</ScaleCrop>
  <LinksUpToDate>false</LinksUpToDate>
  <CharactersWithSpaces>5357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胡桃</cp:lastModifiedBy>
  <cp:lastPrinted>2026-01-07T08:27:22Z</cp:lastPrinted>
  <dcterms:modified xsi:type="dcterms:W3CDTF">2026-01-07T08:30:37Z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8357816D0553440E8C614F37895F2C75_13</vt:lpwstr>
  </property>
  <property fmtid="{D5CDD505-2E9C-101B-9397-08002B2CF9AE}" pid="4" name="KSOTemplateDocerSaveRecord">
    <vt:lpwstr>eyJoZGlkIjoiOGFkYmYxZTQwODIwNWFmNzM5MDE0ZWUyNDYyMDdhMjAiLCJ1c2VySWQiOiIxNzYxODEzMTM1In0=</vt:lpwstr>
  </property>
</Properties>
</file>