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泌尿外科冲洗器</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1231</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07</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泌尿外科冲洗器</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三、项目编号：GASRMYY-202512</w:t>
      </w:r>
      <w:r>
        <w:rPr>
          <w:rFonts w:hint="eastAsia" w:ascii="宋体" w:hAnsi="宋体"/>
          <w:b/>
          <w:bCs/>
          <w:color w:val="000000" w:themeColor="text1"/>
          <w:sz w:val="24"/>
          <w:lang w:val="en-US" w:eastAsia="zh-CN"/>
          <w14:textFill>
            <w14:solidFill>
              <w14:schemeClr w14:val="tx1"/>
            </w14:solidFill>
          </w14:textFill>
        </w:rPr>
        <w:t>31</w:t>
      </w:r>
      <w:r>
        <w:rPr>
          <w:rFonts w:hint="eastAsia" w:ascii="宋体" w:hAnsi="宋体"/>
          <w:b/>
          <w:bCs/>
          <w:color w:val="000000" w:themeColor="text1"/>
          <w:sz w:val="24"/>
          <w14:textFill>
            <w14:solidFill>
              <w14:schemeClr w14:val="tx1"/>
            </w14:solidFill>
          </w14:textFill>
        </w:rPr>
        <w:t>-00</w:t>
      </w:r>
      <w:r>
        <w:rPr>
          <w:rFonts w:hint="eastAsia" w:ascii="宋体" w:hAnsi="宋体"/>
          <w:b/>
          <w:bCs/>
          <w:color w:val="000000" w:themeColor="text1"/>
          <w:sz w:val="24"/>
          <w:lang w:val="en-US" w:eastAsia="zh-CN"/>
          <w14:textFill>
            <w14:solidFill>
              <w14:schemeClr w14:val="tx1"/>
            </w14:solidFill>
          </w14:textFill>
        </w:rPr>
        <w:t>7</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721"/>
        <w:gridCol w:w="743"/>
        <w:gridCol w:w="1242"/>
        <w:gridCol w:w="1115"/>
        <w:gridCol w:w="1091"/>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87"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99"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6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17"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9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661"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94"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581"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7" w:type="pct"/>
            <w:vAlign w:val="center"/>
          </w:tcPr>
          <w:p w14:paraId="28746AD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99" w:type="pct"/>
            <w:vAlign w:val="center"/>
          </w:tcPr>
          <w:p w14:paraId="2C2AB12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061" w:type="pct"/>
            <w:shd w:val="clear" w:color="auto" w:fill="auto"/>
            <w:vAlign w:val="center"/>
          </w:tcPr>
          <w:p w14:paraId="7F09D202">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冲洗器</w:t>
            </w:r>
          </w:p>
        </w:tc>
        <w:tc>
          <w:tcPr>
            <w:tcW w:w="917" w:type="pct"/>
            <w:shd w:val="clear" w:color="auto" w:fill="auto"/>
            <w:vAlign w:val="center"/>
          </w:tcPr>
          <w:p w14:paraId="3AF6624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3000ml/袋</w:t>
            </w:r>
          </w:p>
        </w:tc>
        <w:tc>
          <w:tcPr>
            <w:tcW w:w="395" w:type="pct"/>
            <w:shd w:val="clear" w:color="auto" w:fill="auto"/>
            <w:vAlign w:val="center"/>
          </w:tcPr>
          <w:p w14:paraId="69E1CE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袋</w:t>
            </w:r>
          </w:p>
        </w:tc>
        <w:tc>
          <w:tcPr>
            <w:tcW w:w="661" w:type="pct"/>
            <w:shd w:val="clear" w:color="auto" w:fill="auto"/>
            <w:vAlign w:val="center"/>
          </w:tcPr>
          <w:p w14:paraId="2619BB1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15.8</w:t>
            </w:r>
          </w:p>
        </w:tc>
        <w:tc>
          <w:tcPr>
            <w:tcW w:w="594" w:type="pct"/>
            <w:shd w:val="clear" w:color="auto" w:fill="auto"/>
            <w:vAlign w:val="center"/>
          </w:tcPr>
          <w:p w14:paraId="0F4B1E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15.8</w:t>
            </w:r>
          </w:p>
        </w:tc>
        <w:tc>
          <w:tcPr>
            <w:tcW w:w="581" w:type="pct"/>
            <w:vAlign w:val="center"/>
          </w:tcPr>
          <w:p w14:paraId="695D4AC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泌尿外科</w:t>
            </w:r>
          </w:p>
        </w:tc>
      </w:tr>
      <w:bookmarkEnd w:id="4"/>
    </w:tbl>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9</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13</w:t>
      </w:r>
      <w:r>
        <w:rPr>
          <w:rFonts w:hint="eastAsia" w:ascii="宋体" w:hAnsi="宋体"/>
          <w:kern w:val="0"/>
          <w:sz w:val="24"/>
        </w:rPr>
        <w:t>日（</w:t>
      </w:r>
      <w:r>
        <w:rPr>
          <w:rFonts w:hint="eastAsia" w:ascii="宋体" w:hAnsi="宋体"/>
          <w:kern w:val="0"/>
          <w:sz w:val="24"/>
          <w:lang w:val="en-US" w:eastAsia="zh-CN"/>
        </w:rPr>
        <w:t>3</w:t>
      </w:r>
      <w:bookmarkStart w:id="73" w:name="_GoBack"/>
      <w:bookmarkEnd w:id="73"/>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w:t>
      </w:r>
      <w:r>
        <w:rPr>
          <w:rFonts w:hint="eastAsia" w:ascii="宋体" w:hAnsi="宋体"/>
          <w:kern w:val="0"/>
          <w:sz w:val="24"/>
          <w:lang w:val="en-US" w:eastAsia="zh-CN"/>
        </w:rPr>
        <w:t>6</w:t>
      </w:r>
      <w:r>
        <w:rPr>
          <w:rFonts w:hint="eastAsia" w:ascii="宋体" w:hAnsi="宋体"/>
          <w:kern w:val="0"/>
          <w:sz w:val="24"/>
        </w:rPr>
        <w:t>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19182656132</w:t>
      </w:r>
      <w:r>
        <w:rPr>
          <w:rFonts w:hint="eastAsia" w:ascii="宋体" w:hAnsi="宋体"/>
          <w:kern w:val="0"/>
          <w:sz w:val="24"/>
          <w:lang w:val="en-US" w:eastAsia="zh-CN"/>
        </w:rPr>
        <w:t xml:space="preserve"> 13982609112</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泌尿外科冲洗器</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582211"/>
      <w:bookmarkStart w:id="8" w:name="_Toc183682348"/>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34536603"/>
      <w:bookmarkStart w:id="17" w:name="_Toc146532506"/>
      <w:bookmarkStart w:id="18" w:name="_Toc150831011"/>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453578485"/>
      <w:bookmarkStart w:id="21" w:name="_Toc325028467"/>
      <w:bookmarkStart w:id="22" w:name="_Toc476736016"/>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321598257"/>
      <w:bookmarkStart w:id="27" w:name="_Toc280877425"/>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97204985"/>
      <w:bookmarkEnd w:id="29"/>
      <w:bookmarkStart w:id="30" w:name="_Toc237145385"/>
      <w:bookmarkEnd w:id="30"/>
      <w:bookmarkStart w:id="31" w:name="_Toc263753600"/>
      <w:bookmarkEnd w:id="31"/>
      <w:bookmarkStart w:id="32" w:name="_Toc256175382"/>
      <w:bookmarkEnd w:id="32"/>
      <w:bookmarkStart w:id="33" w:name="_Toc263768864"/>
      <w:bookmarkEnd w:id="33"/>
      <w:bookmarkStart w:id="34" w:name="_Toc250041691"/>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453578491"/>
      <w:bookmarkStart w:id="38" w:name="_Toc476736025"/>
      <w:bookmarkStart w:id="39" w:name="_Toc325028474"/>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325028475"/>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325028476"/>
      <w:bookmarkStart w:id="49" w:name="_Toc453578493"/>
      <w:bookmarkStart w:id="50" w:name="_Toc476736029"/>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725"/>
        <w:gridCol w:w="745"/>
        <w:gridCol w:w="1245"/>
        <w:gridCol w:w="1117"/>
        <w:gridCol w:w="1093"/>
      </w:tblGrid>
      <w:tr w14:paraId="0A46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87" w:type="pct"/>
            <w:vAlign w:val="center"/>
          </w:tcPr>
          <w:p w14:paraId="4943479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99" w:type="pct"/>
            <w:vAlign w:val="center"/>
          </w:tcPr>
          <w:p w14:paraId="0EB1FB02">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61" w:type="pct"/>
            <w:vAlign w:val="center"/>
          </w:tcPr>
          <w:p w14:paraId="40E96F3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17" w:type="pct"/>
            <w:vAlign w:val="center"/>
          </w:tcPr>
          <w:p w14:paraId="06350EC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95" w:type="pct"/>
            <w:vAlign w:val="center"/>
          </w:tcPr>
          <w:p w14:paraId="1948D48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661" w:type="pct"/>
            <w:vAlign w:val="center"/>
          </w:tcPr>
          <w:p w14:paraId="4F9E968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4D7A5F7D">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94" w:type="pct"/>
            <w:vAlign w:val="center"/>
          </w:tcPr>
          <w:p w14:paraId="05B6233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581" w:type="pct"/>
            <w:vAlign w:val="center"/>
          </w:tcPr>
          <w:p w14:paraId="3D1AA97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3A6C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7" w:type="pct"/>
            <w:vAlign w:val="center"/>
          </w:tcPr>
          <w:p w14:paraId="73B866B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99" w:type="pct"/>
            <w:vAlign w:val="center"/>
          </w:tcPr>
          <w:p w14:paraId="46FC461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061" w:type="pct"/>
            <w:shd w:val="clear" w:color="auto" w:fill="auto"/>
            <w:vAlign w:val="center"/>
          </w:tcPr>
          <w:p w14:paraId="2DEED278">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冲洗器</w:t>
            </w:r>
          </w:p>
        </w:tc>
        <w:tc>
          <w:tcPr>
            <w:tcW w:w="917" w:type="pct"/>
            <w:shd w:val="clear" w:color="auto" w:fill="auto"/>
            <w:vAlign w:val="center"/>
          </w:tcPr>
          <w:p w14:paraId="2D521FB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3000ml/袋</w:t>
            </w:r>
          </w:p>
        </w:tc>
        <w:tc>
          <w:tcPr>
            <w:tcW w:w="395" w:type="pct"/>
            <w:shd w:val="clear" w:color="auto" w:fill="auto"/>
            <w:vAlign w:val="center"/>
          </w:tcPr>
          <w:p w14:paraId="37A06EE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袋</w:t>
            </w:r>
          </w:p>
        </w:tc>
        <w:tc>
          <w:tcPr>
            <w:tcW w:w="661" w:type="pct"/>
            <w:shd w:val="clear" w:color="auto" w:fill="auto"/>
            <w:vAlign w:val="center"/>
          </w:tcPr>
          <w:p w14:paraId="7DCC952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15.8</w:t>
            </w:r>
          </w:p>
        </w:tc>
        <w:tc>
          <w:tcPr>
            <w:tcW w:w="594" w:type="pct"/>
            <w:shd w:val="clear" w:color="auto" w:fill="auto"/>
            <w:vAlign w:val="center"/>
          </w:tcPr>
          <w:p w14:paraId="510D6E7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15.8</w:t>
            </w:r>
          </w:p>
        </w:tc>
        <w:tc>
          <w:tcPr>
            <w:tcW w:w="581" w:type="pct"/>
            <w:vAlign w:val="center"/>
          </w:tcPr>
          <w:p w14:paraId="19649D33">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泌尿外科</w:t>
            </w:r>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w:t>
      </w:r>
      <w:r>
        <w:rPr>
          <w:rFonts w:hint="eastAsia" w:ascii="宋体" w:hAnsi="宋体"/>
          <w:b/>
          <w:color w:val="000000" w:themeColor="text1"/>
          <w:sz w:val="24"/>
          <w:lang w:eastAsia="zh-CN"/>
          <w14:textFill>
            <w14:solidFill>
              <w14:schemeClr w14:val="tx1"/>
            </w14:solidFill>
          </w14:textFill>
        </w:rPr>
        <w:t>冲洗器</w:t>
      </w:r>
      <w:r>
        <w:rPr>
          <w:rFonts w:hint="eastAsia" w:ascii="宋体" w:hAnsi="宋体"/>
          <w:b/>
          <w:color w:val="000000" w:themeColor="text1"/>
          <w:sz w:val="24"/>
          <w14:textFill>
            <w14:solidFill>
              <w14:schemeClr w14:val="tx1"/>
            </w14:solidFill>
          </w14:textFill>
        </w:rPr>
        <w:t>：</w:t>
      </w:r>
    </w:p>
    <w:p w14:paraId="5834B37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▲1.无菌袋装溶液剂，规格≥3000毫升/袋。</w:t>
      </w:r>
    </w:p>
    <w:p w14:paraId="6478C341">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2.每100ml液体含氯化钠900±10mg。</w:t>
      </w:r>
    </w:p>
    <w:p w14:paraId="297363E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3.渗透压305±5毫摩尔/升，pH4.5-7.0</w:t>
      </w:r>
    </w:p>
    <w:p w14:paraId="1577D6A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★4.适用范围：用于各种泌尿手术腔道内冲洗，手术伤口和黏膜清洗。</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582287"/>
      <w:bookmarkEnd w:id="55"/>
      <w:bookmarkStart w:id="56" w:name="_Toc183682422"/>
      <w:bookmarkEnd w:id="56"/>
      <w:bookmarkStart w:id="57" w:name="_Toc217446104"/>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tbl>
      <w:tblPr>
        <w:tblStyle w:val="42"/>
        <w:tblW w:w="10013" w:type="dxa"/>
        <w:jc w:val="center"/>
        <w:tblLayout w:type="autofit"/>
        <w:tblCellMar>
          <w:top w:w="0" w:type="dxa"/>
          <w:left w:w="108" w:type="dxa"/>
          <w:bottom w:w="0" w:type="dxa"/>
          <w:right w:w="108" w:type="dxa"/>
        </w:tblCellMar>
      </w:tblPr>
      <w:tblGrid>
        <w:gridCol w:w="580"/>
        <w:gridCol w:w="1300"/>
        <w:gridCol w:w="800"/>
        <w:gridCol w:w="5843"/>
        <w:gridCol w:w="1490"/>
      </w:tblGrid>
      <w:tr w14:paraId="69DF90BD">
        <w:tblPrEx>
          <w:tblCellMar>
            <w:top w:w="0" w:type="dxa"/>
            <w:left w:w="108" w:type="dxa"/>
            <w:bottom w:w="0" w:type="dxa"/>
            <w:right w:w="108" w:type="dxa"/>
          </w:tblCellMar>
        </w:tblPrEx>
        <w:trPr>
          <w:trHeight w:val="690" w:hRule="atLeast"/>
          <w:jc w:val="center"/>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30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jc w:val="center"/>
              <w:rPr>
                <w:rFonts w:ascii="宋体" w:hAnsi="宋体" w:cs="宋体"/>
                <w:color w:val="000000"/>
                <w:kern w:val="0"/>
                <w:szCs w:val="21"/>
              </w:rPr>
            </w:pPr>
            <w:r>
              <w:rPr>
                <w:rFonts w:hint="eastAsia" w:ascii="宋体" w:hAnsi="宋体" w:cs="宋体"/>
                <w:color w:val="000000"/>
                <w:kern w:val="0"/>
                <w:szCs w:val="21"/>
              </w:rPr>
              <w:t>评分因素及权重</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jc w:val="center"/>
              <w:rPr>
                <w:rFonts w:ascii="宋体" w:hAnsi="宋体" w:cs="宋体"/>
                <w:color w:val="000000"/>
                <w:kern w:val="0"/>
                <w:szCs w:val="21"/>
              </w:rPr>
            </w:pPr>
            <w:r>
              <w:rPr>
                <w:rFonts w:hint="eastAsia" w:ascii="宋体" w:hAnsi="宋体" w:cs="宋体"/>
                <w:color w:val="000000"/>
                <w:kern w:val="0"/>
                <w:szCs w:val="21"/>
              </w:rPr>
              <w:t>分值</w:t>
            </w:r>
          </w:p>
        </w:tc>
        <w:tc>
          <w:tcPr>
            <w:tcW w:w="5843" w:type="dxa"/>
            <w:tcBorders>
              <w:top w:val="single" w:color="000000" w:sz="8" w:space="0"/>
              <w:left w:val="nil"/>
              <w:bottom w:val="single" w:color="000000" w:sz="8" w:space="0"/>
              <w:right w:val="single" w:color="000000" w:sz="8" w:space="0"/>
            </w:tcBorders>
            <w:shd w:val="clear" w:color="auto" w:fill="auto"/>
            <w:vAlign w:val="center"/>
          </w:tcPr>
          <w:p w14:paraId="24199E06">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c>
          <w:tcPr>
            <w:tcW w:w="149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jc w:val="center"/>
              <w:rPr>
                <w:rFonts w:ascii="宋体" w:hAnsi="宋体" w:cs="宋体"/>
                <w:color w:val="000000"/>
                <w:kern w:val="0"/>
                <w:szCs w:val="21"/>
              </w:rPr>
            </w:pPr>
            <w:r>
              <w:rPr>
                <w:rFonts w:hint="eastAsia" w:ascii="宋体" w:hAnsi="宋体" w:cs="宋体"/>
                <w:color w:val="000000"/>
                <w:kern w:val="0"/>
                <w:szCs w:val="21"/>
              </w:rPr>
              <w:t>说明</w:t>
            </w:r>
          </w:p>
        </w:tc>
      </w:tr>
      <w:tr w14:paraId="799D994D">
        <w:tblPrEx>
          <w:tblCellMar>
            <w:top w:w="0" w:type="dxa"/>
            <w:left w:w="108" w:type="dxa"/>
            <w:bottom w:w="0" w:type="dxa"/>
            <w:right w:w="108" w:type="dxa"/>
          </w:tblCellMar>
        </w:tblPrEx>
        <w:trPr>
          <w:trHeight w:val="1320" w:hRule="atLeast"/>
          <w:jc w:val="center"/>
        </w:trPr>
        <w:tc>
          <w:tcPr>
            <w:tcW w:w="580" w:type="dxa"/>
            <w:tcBorders>
              <w:top w:val="nil"/>
              <w:left w:val="single" w:color="000000" w:sz="8" w:space="0"/>
              <w:bottom w:val="single" w:color="000000" w:sz="8" w:space="0"/>
              <w:right w:val="single" w:color="000000" w:sz="8" w:space="0"/>
            </w:tcBorders>
            <w:shd w:val="clear" w:color="auto" w:fill="auto"/>
            <w:vAlign w:val="center"/>
          </w:tcPr>
          <w:p w14:paraId="15EB28BE">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300" w:type="dxa"/>
            <w:tcBorders>
              <w:top w:val="nil"/>
              <w:left w:val="nil"/>
              <w:bottom w:val="single" w:color="000000" w:sz="8" w:space="0"/>
              <w:right w:val="single" w:color="000000" w:sz="8" w:space="0"/>
            </w:tcBorders>
            <w:shd w:val="clear" w:color="auto" w:fill="auto"/>
            <w:vAlign w:val="center"/>
          </w:tcPr>
          <w:p w14:paraId="3E036E10">
            <w:pPr>
              <w:widowControl/>
              <w:jc w:val="center"/>
              <w:rPr>
                <w:rFonts w:ascii="宋体" w:hAnsi="宋体" w:cs="宋体"/>
                <w:color w:val="000000"/>
                <w:kern w:val="0"/>
                <w:szCs w:val="21"/>
              </w:rPr>
            </w:pPr>
            <w:r>
              <w:rPr>
                <w:rFonts w:hint="eastAsia" w:ascii="宋体" w:hAnsi="宋体" w:cs="宋体"/>
                <w:color w:val="000000"/>
                <w:kern w:val="0"/>
                <w:szCs w:val="21"/>
              </w:rPr>
              <w:t>报价30%</w:t>
            </w:r>
          </w:p>
        </w:tc>
        <w:tc>
          <w:tcPr>
            <w:tcW w:w="800" w:type="dxa"/>
            <w:tcBorders>
              <w:top w:val="nil"/>
              <w:left w:val="nil"/>
              <w:bottom w:val="single" w:color="000000" w:sz="8" w:space="0"/>
              <w:right w:val="single" w:color="000000" w:sz="8" w:space="0"/>
            </w:tcBorders>
            <w:shd w:val="clear" w:color="auto" w:fill="auto"/>
            <w:vAlign w:val="center"/>
          </w:tcPr>
          <w:p w14:paraId="44AA32AF">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5843" w:type="dxa"/>
            <w:tcBorders>
              <w:top w:val="nil"/>
              <w:left w:val="nil"/>
              <w:bottom w:val="single" w:color="000000" w:sz="8" w:space="0"/>
              <w:right w:val="single" w:color="000000" w:sz="8" w:space="0"/>
            </w:tcBorders>
            <w:shd w:val="clear" w:color="auto" w:fill="auto"/>
            <w:vAlign w:val="center"/>
          </w:tcPr>
          <w:p w14:paraId="75622D05">
            <w:pPr>
              <w:widowControl/>
              <w:rPr>
                <w:rFonts w:ascii="宋体" w:hAnsi="宋体" w:cs="宋体"/>
                <w:color w:val="000000"/>
                <w:kern w:val="0"/>
                <w:szCs w:val="21"/>
              </w:rPr>
            </w:pPr>
            <w:r>
              <w:rPr>
                <w:rFonts w:hint="eastAsia" w:ascii="宋体" w:hAnsi="宋体" w:cs="宋体"/>
                <w:color w:val="000000"/>
                <w:kern w:val="0"/>
                <w:szCs w:val="21"/>
              </w:rPr>
              <w:t>满足公开采购文件要求且单价汇总价格最低的报价为基准价，其价格分为满分。其他供应商的价格分统一按照下列公式计算：报价得分=(基准价／报价)* 30%*100</w:t>
            </w:r>
          </w:p>
        </w:tc>
        <w:tc>
          <w:tcPr>
            <w:tcW w:w="1490" w:type="dxa"/>
            <w:tcBorders>
              <w:top w:val="nil"/>
              <w:left w:val="nil"/>
              <w:bottom w:val="single" w:color="000000" w:sz="8" w:space="0"/>
              <w:right w:val="single" w:color="000000" w:sz="8" w:space="0"/>
            </w:tcBorders>
            <w:shd w:val="clear" w:color="auto" w:fill="auto"/>
            <w:vAlign w:val="center"/>
          </w:tcPr>
          <w:p w14:paraId="50E653E2">
            <w:pPr>
              <w:widowControl/>
              <w:rPr>
                <w:rFonts w:ascii="宋体" w:hAnsi="宋体" w:cs="宋体"/>
                <w:color w:val="000000"/>
                <w:kern w:val="0"/>
                <w:szCs w:val="21"/>
              </w:rPr>
            </w:pPr>
          </w:p>
        </w:tc>
      </w:tr>
      <w:tr w14:paraId="62882EEE">
        <w:tblPrEx>
          <w:tblCellMar>
            <w:top w:w="0" w:type="dxa"/>
            <w:left w:w="108" w:type="dxa"/>
            <w:bottom w:w="0" w:type="dxa"/>
            <w:right w:w="108" w:type="dxa"/>
          </w:tblCellMar>
        </w:tblPrEx>
        <w:trPr>
          <w:trHeight w:val="66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1A0D5055">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300" w:type="dxa"/>
            <w:vMerge w:val="restart"/>
            <w:tcBorders>
              <w:top w:val="nil"/>
              <w:left w:val="nil"/>
              <w:bottom w:val="nil"/>
              <w:right w:val="single" w:color="000000" w:sz="8" w:space="0"/>
            </w:tcBorders>
            <w:shd w:val="clear" w:color="auto" w:fill="auto"/>
            <w:vAlign w:val="center"/>
          </w:tcPr>
          <w:p w14:paraId="6ED9F66D">
            <w:pPr>
              <w:widowControl/>
              <w:jc w:val="center"/>
              <w:rPr>
                <w:rFonts w:ascii="宋体" w:hAnsi="宋体" w:cs="宋体"/>
                <w:color w:val="000000"/>
                <w:kern w:val="0"/>
                <w:szCs w:val="21"/>
              </w:rPr>
            </w:pPr>
            <w:r>
              <w:rPr>
                <w:rFonts w:hint="eastAsia" w:ascii="宋体" w:hAnsi="宋体" w:cs="宋体"/>
                <w:color w:val="000000"/>
                <w:kern w:val="0"/>
                <w:szCs w:val="21"/>
              </w:rPr>
              <w:t>技术参数及要求40%</w:t>
            </w:r>
          </w:p>
        </w:tc>
        <w:tc>
          <w:tcPr>
            <w:tcW w:w="800" w:type="dxa"/>
            <w:vMerge w:val="restart"/>
            <w:tcBorders>
              <w:top w:val="nil"/>
              <w:left w:val="nil"/>
              <w:bottom w:val="single" w:color="000000" w:sz="8" w:space="0"/>
              <w:right w:val="single" w:color="000000" w:sz="8" w:space="0"/>
            </w:tcBorders>
            <w:shd w:val="clear" w:color="auto" w:fill="auto"/>
            <w:vAlign w:val="center"/>
          </w:tcPr>
          <w:p w14:paraId="7B6B3E91">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5843" w:type="dxa"/>
            <w:tcBorders>
              <w:top w:val="nil"/>
              <w:left w:val="nil"/>
              <w:bottom w:val="nil"/>
              <w:right w:val="single" w:color="000000" w:sz="8" w:space="0"/>
            </w:tcBorders>
            <w:shd w:val="clear" w:color="auto" w:fill="auto"/>
            <w:vAlign w:val="center"/>
          </w:tcPr>
          <w:p w14:paraId="246248F3">
            <w:pPr>
              <w:widowControl/>
              <w:rPr>
                <w:rFonts w:ascii="宋体" w:hAnsi="宋体" w:cs="宋体"/>
                <w:color w:val="000000"/>
                <w:kern w:val="0"/>
                <w:szCs w:val="21"/>
              </w:rPr>
            </w:pPr>
            <w:r>
              <w:rPr>
                <w:rFonts w:hint="eastAsia" w:ascii="宋体" w:hAnsi="宋体" w:cs="宋体"/>
                <w:color w:val="000000"/>
                <w:kern w:val="0"/>
                <w:szCs w:val="21"/>
              </w:rPr>
              <w:t>注：普通参数为非“★”、“▲”号的参数；重要参数为“▲”号参数。“★”号参数为实质性参数，不参与评分。</w:t>
            </w:r>
          </w:p>
        </w:tc>
        <w:tc>
          <w:tcPr>
            <w:tcW w:w="1490" w:type="dxa"/>
            <w:vMerge w:val="restart"/>
            <w:tcBorders>
              <w:top w:val="nil"/>
              <w:left w:val="nil"/>
              <w:bottom w:val="single" w:color="000000" w:sz="8" w:space="0"/>
              <w:right w:val="single" w:color="000000" w:sz="8" w:space="0"/>
            </w:tcBorders>
            <w:shd w:val="clear" w:color="auto" w:fill="auto"/>
            <w:vAlign w:val="center"/>
          </w:tcPr>
          <w:p w14:paraId="5CBAFF51">
            <w:pPr>
              <w:widowControl/>
              <w:rPr>
                <w:rFonts w:ascii="宋体" w:hAnsi="宋体" w:cs="宋体"/>
                <w:color w:val="000000"/>
                <w:kern w:val="0"/>
                <w:szCs w:val="21"/>
              </w:rPr>
            </w:pPr>
            <w:r>
              <w:rPr>
                <w:rFonts w:hint="eastAsia" w:ascii="宋体" w:hAnsi="宋体" w:cs="宋体"/>
                <w:color w:val="000000"/>
                <w:kern w:val="0"/>
                <w:szCs w:val="21"/>
              </w:rPr>
              <w:t>★▲重要参数要提供佐证材料</w:t>
            </w:r>
          </w:p>
        </w:tc>
      </w:tr>
      <w:tr w14:paraId="65880D63">
        <w:tblPrEx>
          <w:tblCellMar>
            <w:top w:w="0" w:type="dxa"/>
            <w:left w:w="108" w:type="dxa"/>
            <w:bottom w:w="0" w:type="dxa"/>
            <w:right w:w="108" w:type="dxa"/>
          </w:tblCellMar>
        </w:tblPrEx>
        <w:trPr>
          <w:trHeight w:val="204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2777E651">
            <w:pPr>
              <w:widowControl/>
              <w:jc w:val="center"/>
              <w:rPr>
                <w:rFonts w:ascii="宋体" w:hAnsi="宋体" w:cs="宋体"/>
                <w:color w:val="000000"/>
                <w:kern w:val="0"/>
                <w:szCs w:val="21"/>
              </w:rPr>
            </w:pPr>
          </w:p>
        </w:tc>
        <w:tc>
          <w:tcPr>
            <w:tcW w:w="1300" w:type="dxa"/>
            <w:vMerge w:val="continue"/>
            <w:tcBorders>
              <w:top w:val="nil"/>
              <w:left w:val="nil"/>
              <w:bottom w:val="nil"/>
              <w:right w:val="single" w:color="000000" w:sz="8" w:space="0"/>
            </w:tcBorders>
            <w:vAlign w:val="center"/>
          </w:tcPr>
          <w:p w14:paraId="0CF43859">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43C03F1C">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68F36EAD">
            <w:pPr>
              <w:widowControl/>
              <w:rPr>
                <w:rFonts w:ascii="宋体" w:hAnsi="宋体" w:cs="宋体"/>
                <w:color w:val="000000"/>
                <w:kern w:val="0"/>
                <w:szCs w:val="21"/>
              </w:rPr>
            </w:pPr>
            <w:bookmarkStart w:id="60" w:name="OLE_LINK2"/>
            <w:r>
              <w:rPr>
                <w:rFonts w:hint="eastAsia" w:ascii="宋体" w:hAnsi="宋体" w:cs="宋体"/>
                <w:color w:val="000000"/>
                <w:kern w:val="0"/>
                <w:szCs w:val="21"/>
              </w:rPr>
              <w:t>完全符合参数及配置要求没有负偏离得40分；参数及配置要求中有负偏离的按如下要求扣分：</w:t>
            </w:r>
            <w:bookmarkEnd w:id="60"/>
            <w:r>
              <w:rPr>
                <w:rFonts w:hint="eastAsia" w:ascii="宋体" w:hAnsi="宋体" w:cs="宋体"/>
                <w:color w:val="000000"/>
                <w:kern w:val="0"/>
                <w:szCs w:val="21"/>
              </w:rPr>
              <w:t>普通参数得分=（供应商满足普通技术参数要求条款的数量÷普通技术参数要求条款总数量）×</w:t>
            </w:r>
            <w:r>
              <w:rPr>
                <w:rFonts w:hint="eastAsia" w:ascii="宋体" w:hAnsi="宋体" w:cs="宋体"/>
                <w:color w:val="000000"/>
                <w:kern w:val="0"/>
                <w:szCs w:val="21"/>
                <w:lang w:val="en-US" w:eastAsia="zh-CN"/>
              </w:rPr>
              <w:t>20</w:t>
            </w:r>
            <w:r>
              <w:rPr>
                <w:rFonts w:hint="eastAsia" w:ascii="宋体" w:hAnsi="宋体" w:cs="宋体"/>
                <w:color w:val="000000"/>
                <w:kern w:val="0"/>
                <w:szCs w:val="21"/>
              </w:rPr>
              <w:t>；重要参数得分=（供应商满足重要技术参数要求条款的数量÷重要技术参数要求条款总数量）×</w:t>
            </w:r>
            <w:r>
              <w:rPr>
                <w:rFonts w:hint="eastAsia" w:ascii="宋体" w:hAnsi="宋体" w:cs="宋体"/>
                <w:color w:val="000000"/>
                <w:kern w:val="0"/>
                <w:szCs w:val="21"/>
                <w:lang w:val="en-US" w:eastAsia="zh-CN"/>
              </w:rPr>
              <w:t>20</w:t>
            </w:r>
            <w:r>
              <w:rPr>
                <w:rFonts w:hint="eastAsia" w:ascii="宋体" w:hAnsi="宋体" w:cs="宋体"/>
                <w:color w:val="000000"/>
                <w:kern w:val="0"/>
                <w:szCs w:val="21"/>
              </w:rPr>
              <w:t>。得分保留2位小数。</w:t>
            </w:r>
          </w:p>
        </w:tc>
        <w:tc>
          <w:tcPr>
            <w:tcW w:w="1490" w:type="dxa"/>
            <w:vMerge w:val="continue"/>
            <w:tcBorders>
              <w:top w:val="nil"/>
              <w:left w:val="nil"/>
              <w:bottom w:val="single" w:color="000000" w:sz="8" w:space="0"/>
              <w:right w:val="single" w:color="000000" w:sz="8" w:space="0"/>
            </w:tcBorders>
            <w:vAlign w:val="center"/>
          </w:tcPr>
          <w:p w14:paraId="5178283A">
            <w:pPr>
              <w:widowControl/>
              <w:jc w:val="left"/>
              <w:rPr>
                <w:rFonts w:ascii="宋体" w:hAnsi="宋体" w:cs="宋体"/>
                <w:color w:val="000000"/>
                <w:kern w:val="0"/>
                <w:szCs w:val="21"/>
              </w:rPr>
            </w:pPr>
          </w:p>
        </w:tc>
      </w:tr>
      <w:tr w14:paraId="4F27A2FF">
        <w:tblPrEx>
          <w:tblCellMar>
            <w:top w:w="0" w:type="dxa"/>
            <w:left w:w="108" w:type="dxa"/>
            <w:bottom w:w="0" w:type="dxa"/>
            <w:right w:w="108" w:type="dxa"/>
          </w:tblCellMar>
        </w:tblPrEx>
        <w:trPr>
          <w:trHeight w:val="1062" w:hRule="atLeast"/>
          <w:jc w:val="center"/>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300" w:type="dxa"/>
            <w:tcBorders>
              <w:top w:val="single" w:color="000000" w:sz="8" w:space="0"/>
              <w:left w:val="nil"/>
              <w:bottom w:val="single" w:color="auto" w:sz="4" w:space="0"/>
              <w:right w:val="single" w:color="000000" w:sz="8" w:space="0"/>
            </w:tcBorders>
            <w:shd w:val="clear" w:color="auto" w:fill="auto"/>
            <w:vAlign w:val="center"/>
          </w:tcPr>
          <w:p w14:paraId="2031B741">
            <w:pPr>
              <w:widowControl/>
              <w:jc w:val="center"/>
              <w:rPr>
                <w:rFonts w:ascii="宋体" w:hAnsi="宋体" w:cs="宋体"/>
                <w:color w:val="000000"/>
                <w:kern w:val="0"/>
                <w:szCs w:val="21"/>
              </w:rPr>
            </w:pPr>
            <w:r>
              <w:rPr>
                <w:rFonts w:hint="eastAsia" w:ascii="宋体" w:hAnsi="宋体" w:cs="宋体"/>
                <w:color w:val="000000"/>
                <w:kern w:val="0"/>
                <w:szCs w:val="21"/>
              </w:rPr>
              <w:t>业绩及产品成熟度10%</w:t>
            </w:r>
          </w:p>
        </w:tc>
        <w:tc>
          <w:tcPr>
            <w:tcW w:w="800" w:type="dxa"/>
            <w:tcBorders>
              <w:top w:val="nil"/>
              <w:left w:val="nil"/>
              <w:bottom w:val="single" w:color="auto" w:sz="4" w:space="0"/>
              <w:right w:val="single" w:color="000000" w:sz="8" w:space="0"/>
            </w:tcBorders>
            <w:shd w:val="clear" w:color="auto" w:fill="auto"/>
            <w:vAlign w:val="center"/>
          </w:tcPr>
          <w:p w14:paraId="1FF3C40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000000"/>
                <w:kern w:val="0"/>
                <w:szCs w:val="21"/>
              </w:rPr>
            </w:pPr>
            <w:r>
              <w:rPr>
                <w:rFonts w:hint="eastAsia" w:ascii="宋体" w:hAnsi="宋体" w:cs="宋体"/>
                <w:color w:val="000000"/>
                <w:kern w:val="0"/>
                <w:szCs w:val="21"/>
              </w:rPr>
              <w:t>对所投产品202</w:t>
            </w:r>
            <w:r>
              <w:rPr>
                <w:rFonts w:hint="eastAsia" w:ascii="宋体" w:hAnsi="宋体" w:cs="宋体"/>
                <w:color w:val="000000"/>
                <w:kern w:val="0"/>
                <w:szCs w:val="21"/>
                <w:lang w:val="en-US" w:eastAsia="zh-CN"/>
              </w:rPr>
              <w:t>3</w:t>
            </w:r>
            <w:r>
              <w:rPr>
                <w:rFonts w:hint="eastAsia" w:ascii="宋体" w:hAnsi="宋体" w:cs="宋体"/>
                <w:color w:val="000000"/>
                <w:kern w:val="0"/>
                <w:szCs w:val="21"/>
              </w:rPr>
              <w:t>年5月1日至今的</w:t>
            </w:r>
            <w:r>
              <w:rPr>
                <w:rFonts w:hint="eastAsia" w:ascii="宋体" w:hAnsi="宋体" w:cs="宋体"/>
                <w:color w:val="000000"/>
                <w:kern w:val="0"/>
                <w:szCs w:val="21"/>
                <w:lang w:eastAsia="zh-CN"/>
              </w:rPr>
              <w:t>同类产品</w:t>
            </w:r>
            <w:r>
              <w:rPr>
                <w:rFonts w:hint="eastAsia" w:ascii="宋体" w:hAnsi="宋体" w:cs="宋体"/>
                <w:color w:val="000000"/>
                <w:kern w:val="0"/>
                <w:szCs w:val="21"/>
              </w:rPr>
              <w:t>销售</w:t>
            </w:r>
            <w:r>
              <w:rPr>
                <w:rFonts w:hint="eastAsia" w:ascii="宋体" w:hAnsi="宋体" w:cs="宋体"/>
                <w:color w:val="000000"/>
                <w:kern w:val="0"/>
                <w:szCs w:val="21"/>
                <w:lang w:eastAsia="zh-CN"/>
              </w:rPr>
              <w:t>到医疗机构的业绩</w:t>
            </w:r>
            <w:r>
              <w:rPr>
                <w:rFonts w:hint="eastAsia" w:ascii="宋体" w:hAnsi="宋体" w:cs="宋体"/>
                <w:color w:val="000000"/>
                <w:kern w:val="0"/>
                <w:szCs w:val="21"/>
              </w:rPr>
              <w:t>进行评分：每个同类产品业绩得1分，本项最多得10分。需提供销售合同作为佐证材料，未提供不得分。</w:t>
            </w:r>
          </w:p>
        </w:tc>
        <w:tc>
          <w:tcPr>
            <w:tcW w:w="1490"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000000"/>
                <w:kern w:val="0"/>
                <w:szCs w:val="21"/>
              </w:rPr>
            </w:pPr>
          </w:p>
        </w:tc>
      </w:tr>
      <w:tr w14:paraId="325A593F">
        <w:tblPrEx>
          <w:tblCellMar>
            <w:top w:w="0" w:type="dxa"/>
            <w:left w:w="108" w:type="dxa"/>
            <w:bottom w:w="0" w:type="dxa"/>
            <w:right w:w="108" w:type="dxa"/>
          </w:tblCellMar>
        </w:tblPrEx>
        <w:trPr>
          <w:trHeight w:val="1320" w:hRule="atLeast"/>
          <w:jc w:val="center"/>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30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jc w:val="center"/>
              <w:rPr>
                <w:rFonts w:ascii="宋体" w:hAnsi="宋体" w:cs="宋体"/>
                <w:color w:val="000000"/>
                <w:kern w:val="0"/>
                <w:szCs w:val="21"/>
              </w:rPr>
            </w:pPr>
            <w:r>
              <w:rPr>
                <w:rFonts w:hint="eastAsia" w:ascii="宋体" w:hAnsi="宋体" w:cs="宋体"/>
                <w:color w:val="000000"/>
                <w:kern w:val="0"/>
                <w:szCs w:val="21"/>
              </w:rPr>
              <w:t>项目实施方案10%</w:t>
            </w:r>
          </w:p>
        </w:tc>
        <w:tc>
          <w:tcPr>
            <w:tcW w:w="80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000000"/>
                <w:kern w:val="0"/>
                <w:szCs w:val="21"/>
              </w:rPr>
            </w:pPr>
            <w:r>
              <w:rPr>
                <w:rFonts w:hint="eastAsia" w:ascii="宋体" w:hAnsi="宋体" w:cs="宋体"/>
                <w:color w:val="000000"/>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49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000000"/>
                <w:kern w:val="0"/>
                <w:szCs w:val="21"/>
              </w:rPr>
            </w:pPr>
          </w:p>
        </w:tc>
      </w:tr>
      <w:tr w14:paraId="09FE5076">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center"/>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15E1EE52">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0D7C0EB6">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000000"/>
                <w:kern w:val="0"/>
                <w:szCs w:val="21"/>
              </w:rPr>
            </w:pPr>
            <w:r>
              <w:rPr>
                <w:rFonts w:hint="eastAsia" w:ascii="宋体" w:hAnsi="宋体" w:cs="宋体"/>
                <w:color w:val="000000"/>
                <w:kern w:val="0"/>
                <w:szCs w:val="21"/>
              </w:rPr>
              <w:t>方案内容完全满足要求的得10分；漏项的、不完整、不合理的每项扣2分。</w:t>
            </w:r>
          </w:p>
        </w:tc>
        <w:tc>
          <w:tcPr>
            <w:tcW w:w="149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000000"/>
                <w:kern w:val="0"/>
                <w:szCs w:val="21"/>
              </w:rPr>
            </w:pPr>
          </w:p>
        </w:tc>
      </w:tr>
      <w:tr w14:paraId="72736C58">
        <w:tblPrEx>
          <w:tblCellMar>
            <w:top w:w="0" w:type="dxa"/>
            <w:left w:w="108" w:type="dxa"/>
            <w:bottom w:w="0" w:type="dxa"/>
            <w:right w:w="108" w:type="dxa"/>
          </w:tblCellMar>
        </w:tblPrEx>
        <w:trPr>
          <w:trHeight w:val="114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300" w:type="dxa"/>
            <w:vMerge w:val="restart"/>
            <w:tcBorders>
              <w:top w:val="nil"/>
              <w:left w:val="nil"/>
              <w:bottom w:val="single" w:color="000000" w:sz="8" w:space="0"/>
              <w:right w:val="single" w:color="000000" w:sz="8" w:space="0"/>
            </w:tcBorders>
            <w:shd w:val="clear" w:color="auto" w:fill="auto"/>
            <w:vAlign w:val="center"/>
          </w:tcPr>
          <w:p w14:paraId="5215A93A">
            <w:pPr>
              <w:widowControl/>
              <w:jc w:val="center"/>
              <w:rPr>
                <w:rFonts w:ascii="宋体" w:hAnsi="宋体" w:cs="宋体"/>
                <w:color w:val="000000"/>
                <w:kern w:val="0"/>
                <w:szCs w:val="21"/>
              </w:rPr>
            </w:pPr>
            <w:r>
              <w:rPr>
                <w:rFonts w:hint="eastAsia" w:ascii="宋体" w:hAnsi="宋体" w:cs="宋体"/>
                <w:color w:val="000000"/>
                <w:kern w:val="0"/>
                <w:szCs w:val="21"/>
              </w:rPr>
              <w:t>售后服务方案10%</w:t>
            </w:r>
          </w:p>
        </w:tc>
        <w:tc>
          <w:tcPr>
            <w:tcW w:w="800" w:type="dxa"/>
            <w:vMerge w:val="restart"/>
            <w:tcBorders>
              <w:top w:val="nil"/>
              <w:left w:val="nil"/>
              <w:bottom w:val="single" w:color="000000" w:sz="8" w:space="0"/>
              <w:right w:val="single" w:color="000000" w:sz="8" w:space="0"/>
            </w:tcBorders>
            <w:shd w:val="clear" w:color="auto" w:fill="auto"/>
            <w:vAlign w:val="center"/>
          </w:tcPr>
          <w:p w14:paraId="6239A1C9">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000000"/>
                <w:kern w:val="0"/>
                <w:szCs w:val="21"/>
              </w:rPr>
            </w:pPr>
            <w:r>
              <w:rPr>
                <w:rFonts w:hint="eastAsia" w:ascii="宋体" w:hAnsi="宋体" w:cs="宋体"/>
                <w:color w:val="000000"/>
                <w:kern w:val="0"/>
                <w:szCs w:val="21"/>
              </w:rPr>
              <w:t>根据供应商提供的售后服务方案进行综合评审，售后服务方案内容包括但不限于①售后服务电话；②响应时间；③质量保证期限及范围；④正品保障承诺。</w:t>
            </w:r>
          </w:p>
        </w:tc>
        <w:tc>
          <w:tcPr>
            <w:tcW w:w="149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000000"/>
                <w:kern w:val="0"/>
                <w:szCs w:val="21"/>
              </w:rPr>
            </w:pPr>
          </w:p>
        </w:tc>
      </w:tr>
      <w:tr w14:paraId="5D56379E">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4E74120B">
            <w:pPr>
              <w:widowControl/>
              <w:rPr>
                <w:rFonts w:ascii="宋体" w:hAnsi="宋体" w:cs="宋体"/>
                <w:color w:val="000000"/>
                <w:kern w:val="0"/>
                <w:szCs w:val="21"/>
              </w:rPr>
            </w:pPr>
            <w:r>
              <w:rPr>
                <w:rFonts w:hint="eastAsia" w:ascii="宋体" w:hAnsi="宋体" w:cs="宋体"/>
                <w:color w:val="000000"/>
                <w:kern w:val="0"/>
                <w:szCs w:val="21"/>
              </w:rPr>
              <w:t xml:space="preserve">方案内容完全满足要求的得10分；漏项的、不完整、不合理的每项扣2.5分， </w:t>
            </w:r>
          </w:p>
        </w:tc>
        <w:tc>
          <w:tcPr>
            <w:tcW w:w="149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000000"/>
                <w:kern w:val="0"/>
                <w:szCs w:val="21"/>
              </w:rPr>
            </w:pPr>
          </w:p>
        </w:tc>
      </w:tr>
    </w:tbl>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1" w:name="_Toc217446061"/>
      <w:bookmarkStart w:id="62" w:name="_Toc183582297"/>
      <w:bookmarkStart w:id="63" w:name="_Toc208849022"/>
      <w:bookmarkStart w:id="64" w:name="_Toc217446105"/>
      <w:bookmarkStart w:id="65" w:name="_Toc183682432"/>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1"/>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6"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6"/>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2"/>
    <w:bookmarkEnd w:id="63"/>
    <w:bookmarkEnd w:id="64"/>
    <w:bookmarkEnd w:id="65"/>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7" w:name="_Toc134536606"/>
      <w:r>
        <w:rPr>
          <w:rFonts w:hint="eastAsia"/>
        </w:rPr>
        <w:t>第六章  合同主要条款</w:t>
      </w:r>
      <w:bookmarkEnd w:id="67"/>
    </w:p>
    <w:p w14:paraId="0A8EF9F6">
      <w:pPr>
        <w:pStyle w:val="165"/>
        <w:spacing w:before="241" w:beforeLines="50" w:after="241" w:afterLines="50" w:line="460" w:lineRule="exact"/>
        <w:ind w:firstLine="499"/>
        <w:rPr>
          <w:rFonts w:asciiTheme="minorEastAsia" w:hAnsiTheme="minorEastAsia" w:eastAsiaTheme="minorEastAsia"/>
        </w:rPr>
      </w:pPr>
      <w:bookmarkStart w:id="68" w:name="_Toc350864527"/>
      <w:bookmarkEnd w:id="68"/>
      <w:bookmarkStart w:id="69" w:name="_Toc349810624"/>
      <w:bookmarkEnd w:id="69"/>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70" w:name="_Toc11901"/>
      <w:bookmarkStart w:id="71" w:name="_Toc134536607"/>
      <w:bookmarkStart w:id="72" w:name="_Toc30899"/>
      <w:r>
        <w:rPr>
          <w:rFonts w:hint="eastAsia" w:ascii="Cambria" w:hAnsi="Cambria" w:eastAsia="华文中宋"/>
          <w:b/>
          <w:bCs/>
          <w:sz w:val="36"/>
          <w:szCs w:val="32"/>
        </w:rPr>
        <w:t>第七章  广安市人民医院供应商黑名单管理办法</w:t>
      </w:r>
      <w:bookmarkEnd w:id="70"/>
      <w:bookmarkEnd w:id="71"/>
      <w:bookmarkEnd w:id="72"/>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1BB39542">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33C57"/>
    <w:rsid w:val="045D4FD9"/>
    <w:rsid w:val="047963B0"/>
    <w:rsid w:val="04B877EB"/>
    <w:rsid w:val="051C6CC9"/>
    <w:rsid w:val="05D96221"/>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AE94048"/>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EF31DA4"/>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3D2C0D"/>
    <w:rsid w:val="32D36347"/>
    <w:rsid w:val="32DD503E"/>
    <w:rsid w:val="33680E43"/>
    <w:rsid w:val="336D6D80"/>
    <w:rsid w:val="339A5D2A"/>
    <w:rsid w:val="34240DF7"/>
    <w:rsid w:val="35D474D1"/>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6E6840"/>
    <w:rsid w:val="3F7766BA"/>
    <w:rsid w:val="3F8F680D"/>
    <w:rsid w:val="3FE83F56"/>
    <w:rsid w:val="405D2BB1"/>
    <w:rsid w:val="409C6C06"/>
    <w:rsid w:val="41513E82"/>
    <w:rsid w:val="41775689"/>
    <w:rsid w:val="420C765B"/>
    <w:rsid w:val="424A19F9"/>
    <w:rsid w:val="42965036"/>
    <w:rsid w:val="42A136C8"/>
    <w:rsid w:val="43385DE0"/>
    <w:rsid w:val="434A65F1"/>
    <w:rsid w:val="441F2254"/>
    <w:rsid w:val="45713F3C"/>
    <w:rsid w:val="466153D1"/>
    <w:rsid w:val="466F6861"/>
    <w:rsid w:val="467B1C9B"/>
    <w:rsid w:val="472D42FC"/>
    <w:rsid w:val="477A6612"/>
    <w:rsid w:val="4784106F"/>
    <w:rsid w:val="47C31876"/>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3F1EE2"/>
    <w:rsid w:val="58842049"/>
    <w:rsid w:val="58D17563"/>
    <w:rsid w:val="59152139"/>
    <w:rsid w:val="594E64F9"/>
    <w:rsid w:val="59BF5730"/>
    <w:rsid w:val="59F459BC"/>
    <w:rsid w:val="5A7230A5"/>
    <w:rsid w:val="5AB71F3E"/>
    <w:rsid w:val="5B770ED0"/>
    <w:rsid w:val="5BA31F63"/>
    <w:rsid w:val="5BA32E43"/>
    <w:rsid w:val="5BFEF7AC"/>
    <w:rsid w:val="5C9B104A"/>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2C0230"/>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535FFB"/>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5C783C"/>
    <w:rsid w:val="779D0309"/>
    <w:rsid w:val="77B82236"/>
    <w:rsid w:val="77C1FF6C"/>
    <w:rsid w:val="77D156FF"/>
    <w:rsid w:val="787A7655"/>
    <w:rsid w:val="787FD53F"/>
    <w:rsid w:val="78A905BF"/>
    <w:rsid w:val="78B45B14"/>
    <w:rsid w:val="78D25215"/>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49</Pages>
  <Words>9661</Words>
  <Characters>10195</Characters>
  <Lines>178</Lines>
  <Paragraphs>50</Paragraphs>
  <TotalTime>0</TotalTime>
  <ScaleCrop>false</ScaleCrop>
  <LinksUpToDate>false</LinksUpToDate>
  <CharactersWithSpaces>10439</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曾铃杰</cp:lastModifiedBy>
  <cp:lastPrinted>2025-02-12T02:41:00Z</cp:lastPrinted>
  <dcterms:modified xsi:type="dcterms:W3CDTF">2026-01-08T03:26:28Z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8BA0A87EAE6D4A00A301E728804796C7_13</vt:lpwstr>
  </property>
  <property fmtid="{D5CDD505-2E9C-101B-9397-08002B2CF9AE}" pid="4" name="KSOTemplateDocerSaveRecord">
    <vt:lpwstr>eyJoZGlkIjoiOGFkYmYxZTQwODIwNWFmNzM5MDE0ZWUyNDYyMDdhMjAiLCJ1c2VySWQiOiI2MDE0NzUzMzAifQ==</vt:lpwstr>
  </property>
</Properties>
</file>