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D08AC3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9BD52EB">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电梯维保服务采购项目</w:t>
      </w:r>
    </w:p>
    <w:p w14:paraId="7D15CE89">
      <w:pPr>
        <w:jc w:val="center"/>
        <w:rPr>
          <w:rFonts w:ascii="华文中宋" w:hAnsi="华文中宋" w:eastAsia="华文中宋"/>
          <w:b/>
          <w:color w:val="000000" w:themeColor="text1"/>
          <w:sz w:val="44"/>
          <w:szCs w:val="44"/>
          <w14:textFill>
            <w14:solidFill>
              <w14:schemeClr w14:val="tx1"/>
            </w14:solidFill>
          </w14:textFill>
        </w:rPr>
      </w:pPr>
    </w:p>
    <w:p w14:paraId="2B98ACE7">
      <w:pPr>
        <w:pStyle w:val="17"/>
        <w:rPr>
          <w:color w:val="000000" w:themeColor="text1"/>
          <w14:textFill>
            <w14:solidFill>
              <w14:schemeClr w14:val="tx1"/>
            </w14:solidFill>
          </w14:textFill>
        </w:rPr>
      </w:pPr>
    </w:p>
    <w:p w14:paraId="41880577">
      <w:pPr>
        <w:jc w:val="center"/>
        <w:rPr>
          <w:rFonts w:ascii="华文中宋" w:hAnsi="华文中宋" w:eastAsia="华文中宋"/>
          <w:b/>
          <w:color w:val="000000" w:themeColor="text1"/>
          <w:sz w:val="48"/>
          <w:szCs w:val="48"/>
          <w14:textFill>
            <w14:solidFill>
              <w14:schemeClr w14:val="tx1"/>
            </w14:solidFill>
          </w14:textFill>
        </w:rPr>
      </w:pPr>
    </w:p>
    <w:p w14:paraId="45428877">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393DFF7A">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35033A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86C3C6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CE05560">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60310</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59A1A2E0">
      <w:pPr>
        <w:rPr>
          <w:rFonts w:ascii="华文中宋" w:hAnsi="华文中宋" w:eastAsia="华文中宋"/>
          <w:b/>
          <w:sz w:val="32"/>
          <w:szCs w:val="32"/>
        </w:rPr>
      </w:pPr>
    </w:p>
    <w:p w14:paraId="5883A41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F56BBE3">
      <w:pPr>
        <w:jc w:val="center"/>
        <w:rPr>
          <w:rFonts w:ascii="华文中宋" w:hAnsi="华文中宋" w:eastAsia="华文中宋"/>
          <w:b/>
          <w:sz w:val="32"/>
          <w:szCs w:val="32"/>
        </w:rPr>
      </w:pPr>
    </w:p>
    <w:p w14:paraId="0B22F4A9">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0F8729B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0D9DEB1D">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1BED744">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Fonts w:asciiTheme="minorEastAsia" w:hAnsiTheme="minorEastAsia" w:eastAsiaTheme="minorEastAsia"/>
          <w:sz w:val="32"/>
          <w:szCs w:val="32"/>
        </w:rPr>
        <w:fldChar w:fldCharType="end"/>
      </w:r>
    </w:p>
    <w:p w14:paraId="37F9297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Fonts w:asciiTheme="minorEastAsia" w:hAnsiTheme="minorEastAsia" w:eastAsiaTheme="minorEastAsia"/>
          <w:sz w:val="32"/>
          <w:szCs w:val="32"/>
        </w:rPr>
        <w:fldChar w:fldCharType="end"/>
      </w:r>
    </w:p>
    <w:p w14:paraId="58AA64A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fldChar w:fldCharType="end"/>
      </w:r>
    </w:p>
    <w:p w14:paraId="0F7EAAE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Fonts w:asciiTheme="minorEastAsia" w:hAnsiTheme="minorEastAsia" w:eastAsiaTheme="minorEastAsia"/>
          <w:sz w:val="32"/>
          <w:szCs w:val="32"/>
        </w:rPr>
        <w:fldChar w:fldCharType="end"/>
      </w:r>
    </w:p>
    <w:p w14:paraId="5FD5101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Fonts w:asciiTheme="minorEastAsia" w:hAnsiTheme="minorEastAsia" w:eastAsiaTheme="minorEastAsia"/>
          <w:sz w:val="32"/>
          <w:szCs w:val="32"/>
        </w:rPr>
        <w:fldChar w:fldCharType="end"/>
      </w:r>
    </w:p>
    <w:p w14:paraId="2F16E3B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w:t>
      </w:r>
      <w:r>
        <w:rPr>
          <w:rStyle w:val="50"/>
          <w:rFonts w:hint="eastAsia" w:asciiTheme="minorEastAsia" w:hAnsiTheme="minorEastAsia" w:eastAsiaTheme="minorEastAsia"/>
          <w:sz w:val="32"/>
          <w:szCs w:val="32"/>
          <w:lang w:eastAsia="zh-CN"/>
        </w:rPr>
        <w:t>六</w:t>
      </w:r>
      <w:r>
        <w:rPr>
          <w:rStyle w:val="50"/>
          <w:rFonts w:asciiTheme="minorEastAsia" w:hAnsiTheme="minorEastAsia" w:eastAsiaTheme="minorEastAsia"/>
          <w:sz w:val="32"/>
          <w:szCs w:val="32"/>
        </w:rPr>
        <w:t>章  广安市人民医院供应商黑名单管理办法</w:t>
      </w:r>
      <w:r>
        <w:rPr>
          <w:rFonts w:asciiTheme="minorEastAsia" w:hAnsiTheme="minorEastAsia" w:eastAsiaTheme="minorEastAsia"/>
          <w:sz w:val="32"/>
          <w:szCs w:val="32"/>
        </w:rPr>
        <w:fldChar w:fldCharType="end"/>
      </w:r>
    </w:p>
    <w:p w14:paraId="39EB1D5C">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11B263B">
      <w:pPr>
        <w:autoSpaceDE w:val="0"/>
        <w:autoSpaceDN w:val="0"/>
        <w:adjustRightInd w:val="0"/>
        <w:spacing w:line="360" w:lineRule="auto"/>
        <w:jc w:val="center"/>
        <w:rPr>
          <w:rFonts w:ascii="宋体" w:hAnsi="宋体"/>
          <w:b/>
          <w:sz w:val="32"/>
          <w:szCs w:val="32"/>
        </w:rPr>
      </w:pPr>
    </w:p>
    <w:p w14:paraId="191B1E9E">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5B17B5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7A4993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二、项目名称：广安市人民医院/四川大学华西医院广安医院电梯维保服务</w:t>
      </w:r>
      <w:r>
        <w:rPr>
          <w:rFonts w:hint="eastAsia" w:ascii="宋体" w:hAnsi="宋体"/>
          <w:b/>
          <w:bCs/>
          <w:color w:val="000000" w:themeColor="text1"/>
          <w:sz w:val="24"/>
          <w:lang w:val="en-US" w:eastAsia="zh-CN"/>
          <w14:textFill>
            <w14:solidFill>
              <w14:schemeClr w14:val="tx1"/>
            </w14:solidFill>
          </w14:textFill>
        </w:rPr>
        <w:t>采购项目</w:t>
      </w:r>
    </w:p>
    <w:p w14:paraId="57EE6CA8">
      <w:pPr>
        <w:spacing w:line="360" w:lineRule="auto"/>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60310-91</w:t>
      </w:r>
    </w:p>
    <w:p w14:paraId="6A777442">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bookmarkStart w:id="4" w:name="OLE_LINK1"/>
    </w:p>
    <w:tbl>
      <w:tblPr>
        <w:tblStyle w:val="44"/>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825" w:type="dxa"/>
            <w:vAlign w:val="center"/>
          </w:tcPr>
          <w:p w14:paraId="3211D96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kern w:val="0"/>
                <w:sz w:val="24"/>
              </w:rPr>
            </w:pPr>
            <w:r>
              <w:rPr>
                <w:rFonts w:hint="eastAsia" w:ascii="宋体" w:hAnsi="宋体"/>
                <w:kern w:val="0"/>
                <w:sz w:val="24"/>
              </w:rPr>
              <w:t>数量</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val="en-US" w:eastAsia="zh-CN"/>
              </w:rPr>
            </w:pPr>
            <w:r>
              <w:rPr>
                <w:rFonts w:hint="eastAsia" w:ascii="宋体" w:hAnsi="宋体"/>
                <w:kern w:val="0"/>
                <w:sz w:val="24"/>
                <w:lang w:val="en-US" w:eastAsia="zh-CN"/>
              </w:rPr>
              <w:t>期限</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cs="宋体"/>
                <w:sz w:val="24"/>
              </w:rPr>
              <w:t>（元/台/年）</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元</w:t>
            </w:r>
            <w:r>
              <w:rPr>
                <w:rFonts w:hint="default" w:ascii="宋体" w:hAnsi="宋体"/>
                <w:kern w:val="0"/>
                <w:sz w:val="24"/>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default"/>
                <w:sz w:val="24"/>
              </w:rPr>
              <w:t>电梯维保服务</w:t>
            </w:r>
          </w:p>
        </w:tc>
        <w:tc>
          <w:tcPr>
            <w:tcW w:w="825" w:type="dxa"/>
            <w:vAlign w:val="center"/>
          </w:tcPr>
          <w:p w14:paraId="1B7235C1">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4"/>
                <w:lang w:val="en-US" w:eastAsia="zh-CN"/>
              </w:rPr>
            </w:pPr>
            <w:r>
              <w:rPr>
                <w:rFonts w:hint="eastAsia" w:ascii="宋体" w:hAnsi="宋体"/>
                <w:kern w:val="0"/>
                <w:sz w:val="24"/>
                <w:lang w:val="en-US" w:eastAsia="zh-CN"/>
              </w:rPr>
              <w:t>26台</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2年</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3700</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192400</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192400</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动力运行科</w:t>
            </w:r>
          </w:p>
        </w:tc>
      </w:tr>
      <w:bookmarkEnd w:id="4"/>
    </w:tbl>
    <w:p w14:paraId="1F4B3C29">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五、采购申请人资格条件要求</w:t>
      </w:r>
    </w:p>
    <w:p w14:paraId="5A933ED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A3C98B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B2D12D5">
      <w:pPr>
        <w:autoSpaceDE w:val="0"/>
        <w:autoSpaceDN w:val="0"/>
        <w:adjustRightInd w:val="0"/>
        <w:spacing w:before="78" w:line="360" w:lineRule="auto"/>
        <w:ind w:right="-20"/>
        <w:jc w:val="left"/>
        <w:rPr>
          <w:rFonts w:hint="eastAsia" w:ascii="宋体" w:hAnsi="宋体" w:eastAsia="宋体" w:cs="宋体"/>
          <w:color w:val="000000"/>
          <w:sz w:val="24"/>
          <w:szCs w:val="24"/>
          <w:highlight w:val="none"/>
          <w:lang w:val="en-US" w:eastAsia="zh-CN"/>
        </w:rPr>
      </w:pPr>
      <w:r>
        <w:rPr>
          <w:rFonts w:hint="eastAsia" w:ascii="宋体" w:hAnsi="宋体"/>
          <w:bCs/>
          <w:kern w:val="0"/>
          <w:sz w:val="24"/>
          <w:highlight w:val="none"/>
          <w:lang w:val="en-US" w:eastAsia="zh-CN"/>
        </w:rPr>
        <w:t>5.7</w:t>
      </w:r>
      <w:r>
        <w:rPr>
          <w:rFonts w:hint="eastAsia" w:ascii="宋体" w:hAnsi="宋体" w:eastAsia="宋体" w:cs="宋体"/>
          <w:color w:val="000000"/>
          <w:sz w:val="24"/>
          <w:szCs w:val="24"/>
          <w:highlight w:val="none"/>
          <w:lang w:val="en-US" w:eastAsia="zh-CN"/>
        </w:rPr>
        <w:t>提供完全响应本项目采购需求</w:t>
      </w:r>
      <w:r>
        <w:rPr>
          <w:rFonts w:hint="eastAsia" w:ascii="宋体" w:hAnsi="宋体" w:cs="宋体"/>
          <w:color w:val="000000"/>
          <w:sz w:val="24"/>
          <w:szCs w:val="24"/>
          <w:highlight w:val="none"/>
          <w:lang w:val="en-US" w:eastAsia="zh-CN"/>
        </w:rPr>
        <w:t>中实质性要求</w:t>
      </w:r>
      <w:r>
        <w:rPr>
          <w:rFonts w:hint="eastAsia" w:ascii="宋体" w:hAnsi="宋体" w:eastAsia="宋体" w:cs="宋体"/>
          <w:color w:val="000000"/>
          <w:sz w:val="24"/>
          <w:szCs w:val="24"/>
          <w:highlight w:val="none"/>
          <w:lang w:val="en-US" w:eastAsia="zh-CN"/>
        </w:rPr>
        <w:t>的承诺函加盖鲜章</w:t>
      </w:r>
    </w:p>
    <w:p w14:paraId="5A92C4C0">
      <w:pPr>
        <w:pStyle w:val="53"/>
        <w:rPr>
          <w:rFonts w:hint="default"/>
          <w:lang w:val="en-US" w:eastAsia="zh-CN"/>
        </w:rPr>
      </w:pPr>
      <w:r>
        <w:rPr>
          <w:rFonts w:hint="eastAsia" w:hAnsi="宋体" w:cs="宋体"/>
          <w:color w:val="000000"/>
          <w:sz w:val="24"/>
          <w:szCs w:val="24"/>
          <w:lang w:val="en-US" w:eastAsia="zh-CN"/>
        </w:rPr>
        <w:t>5.8</w:t>
      </w:r>
      <w:r>
        <w:rPr>
          <w:rFonts w:hint="eastAsia" w:ascii="宋体" w:hAnsi="宋体" w:eastAsia="宋体" w:cs="宋体"/>
          <w:color w:val="auto"/>
          <w:sz w:val="24"/>
          <w:szCs w:val="24"/>
        </w:rPr>
        <w:t>具有有效的《中华人民共和国特种设备安装改造维修许可证》(电梯)或《中华人民共和国特种设备生产许可证》(电梯)，提供复印件加盖鲜章；</w:t>
      </w:r>
    </w:p>
    <w:p w14:paraId="7D054B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9</w:t>
      </w:r>
      <w:r>
        <w:rPr>
          <w:rFonts w:hint="eastAsia" w:ascii="宋体" w:hAnsi="宋体"/>
          <w:bCs/>
          <w:kern w:val="0"/>
          <w:sz w:val="24"/>
        </w:rPr>
        <w:t xml:space="preserve">本项目不允许联合体参加。 </w:t>
      </w:r>
    </w:p>
    <w:p w14:paraId="699D23D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sz w:val="24"/>
        </w:rPr>
      </w:pPr>
      <w:r>
        <w:rPr>
          <w:rFonts w:hint="eastAsia" w:ascii="宋体" w:hAnsi="宋体"/>
          <w:b/>
          <w:bCs/>
          <w:sz w:val="24"/>
        </w:rPr>
        <w:t>六、采购文件的获取</w:t>
      </w:r>
    </w:p>
    <w:p w14:paraId="7FE57DEC">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9EE2E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5699084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3</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3</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w:t>
      </w:r>
      <w:r>
        <w:rPr>
          <w:rFonts w:hint="eastAsia" w:ascii="宋体" w:hAnsi="宋体"/>
          <w:kern w:val="0"/>
          <w:sz w:val="24"/>
          <w:lang w:val="en-US" w:eastAsia="zh-CN"/>
        </w:rPr>
        <w:t xml:space="preserve"> 3</w:t>
      </w:r>
      <w:bookmarkStart w:id="60" w:name="_GoBack"/>
      <w:bookmarkEnd w:id="60"/>
      <w:r>
        <w:rPr>
          <w:rFonts w:hint="eastAsia" w:ascii="宋体" w:hAnsi="宋体"/>
          <w:kern w:val="0"/>
          <w:sz w:val="24"/>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6610581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55DCDB6">
      <w:pPr>
        <w:spacing w:line="360" w:lineRule="auto"/>
        <w:rPr>
          <w:rFonts w:ascii="宋体" w:hAnsi="宋体"/>
          <w:b/>
          <w:bCs/>
          <w:sz w:val="24"/>
        </w:rPr>
      </w:pPr>
      <w:r>
        <w:rPr>
          <w:rFonts w:hint="eastAsia" w:ascii="宋体" w:hAnsi="宋体"/>
          <w:b/>
          <w:bCs/>
          <w:sz w:val="24"/>
        </w:rPr>
        <w:t>八、本项目公告将在《广安市人民医院官网》上发布。</w:t>
      </w:r>
    </w:p>
    <w:p w14:paraId="44EFED53">
      <w:pPr>
        <w:spacing w:line="360" w:lineRule="auto"/>
        <w:rPr>
          <w:rFonts w:ascii="宋体" w:hAnsi="宋体"/>
          <w:b/>
          <w:bCs/>
          <w:sz w:val="24"/>
        </w:rPr>
      </w:pPr>
      <w:r>
        <w:rPr>
          <w:rFonts w:hint="eastAsia" w:ascii="宋体" w:hAnsi="宋体"/>
          <w:b/>
          <w:bCs/>
          <w:sz w:val="24"/>
        </w:rPr>
        <w:t>九、联系方式</w:t>
      </w:r>
    </w:p>
    <w:p w14:paraId="1166053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E826084">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1D9A4444">
      <w:pPr>
        <w:tabs>
          <w:tab w:val="left" w:pos="1500"/>
          <w:tab w:val="left" w:pos="5160"/>
        </w:tabs>
        <w:autoSpaceDE w:val="0"/>
        <w:autoSpaceDN w:val="0"/>
        <w:adjustRightInd w:val="0"/>
        <w:spacing w:before="6" w:line="360" w:lineRule="auto"/>
        <w:ind w:right="-20"/>
        <w:jc w:val="left"/>
        <w:rPr>
          <w:rFonts w:hint="eastAsia" w:ascii="宋体" w:hAnsi="宋体" w:eastAsia="宋体"/>
          <w:kern w:val="0"/>
          <w:sz w:val="24"/>
          <w:lang w:eastAsia="zh-CN"/>
        </w:rPr>
      </w:pPr>
      <w:r>
        <w:rPr>
          <w:rFonts w:hint="eastAsia" w:ascii="宋体" w:hAnsi="宋体"/>
          <w:kern w:val="0"/>
          <w:sz w:val="24"/>
        </w:rPr>
        <w:t>项目相关咨询联系人：</w:t>
      </w:r>
      <w:r>
        <w:rPr>
          <w:rFonts w:hint="eastAsia" w:ascii="宋体" w:hAnsi="宋体"/>
          <w:kern w:val="0"/>
          <w:sz w:val="24"/>
          <w:lang w:eastAsia="zh-CN"/>
        </w:rPr>
        <w:t>杨老师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项目相关咨询联系电话：</w:t>
      </w:r>
      <w:r>
        <w:rPr>
          <w:rFonts w:hint="eastAsia" w:ascii="宋体" w:hAnsi="宋体"/>
          <w:kern w:val="0"/>
          <w:sz w:val="24"/>
          <w:lang w:val="en-US" w:eastAsia="zh-CN"/>
        </w:rPr>
        <w:t>13882685720</w:t>
      </w:r>
    </w:p>
    <w:p w14:paraId="0516BB53">
      <w:pPr>
        <w:tabs>
          <w:tab w:val="left" w:pos="1500"/>
          <w:tab w:val="left" w:pos="5160"/>
        </w:tabs>
        <w:autoSpaceDE w:val="0"/>
        <w:autoSpaceDN w:val="0"/>
        <w:adjustRightInd w:val="0"/>
        <w:spacing w:before="6" w:line="360" w:lineRule="auto"/>
        <w:ind w:right="-20"/>
        <w:jc w:val="left"/>
        <w:rPr>
          <w:highlight w:val="cyan"/>
        </w:rPr>
      </w:pPr>
    </w:p>
    <w:p w14:paraId="40685D22">
      <w:pPr>
        <w:spacing w:before="156" w:beforeLines="50" w:after="312" w:afterLines="100" w:line="360" w:lineRule="auto"/>
        <w:rPr>
          <w:rFonts w:ascii="仿宋_GB2312" w:hAnsi="仿宋_GB2312" w:eastAsia="仿宋_GB2312"/>
          <w:b/>
          <w:kern w:val="0"/>
          <w:sz w:val="28"/>
        </w:rPr>
      </w:pPr>
    </w:p>
    <w:p w14:paraId="68B5687B">
      <w:pPr>
        <w:pStyle w:val="39"/>
      </w:pPr>
      <w:r>
        <w:rPr>
          <w:rFonts w:ascii="宋体" w:hAnsi="宋体"/>
        </w:rPr>
        <w:br w:type="page"/>
      </w:r>
      <w:bookmarkStart w:id="5" w:name="_Toc134536602"/>
      <w:r>
        <w:rPr>
          <w:rFonts w:hint="eastAsia"/>
        </w:rPr>
        <w:t>第二章  采购须知</w:t>
      </w:r>
      <w:bookmarkEnd w:id="0"/>
      <w:bookmarkEnd w:id="5"/>
    </w:p>
    <w:p w14:paraId="4B1B316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szCs w:val="21"/>
              </w:rPr>
            </w:pPr>
            <w:r>
              <w:rPr>
                <w:rFonts w:hint="eastAsia" w:ascii="宋体"/>
                <w:b/>
                <w:szCs w:val="21"/>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szCs w:val="21"/>
              </w:rPr>
            </w:pPr>
            <w:r>
              <w:rPr>
                <w:rFonts w:hint="eastAsia" w:ascii="宋体"/>
                <w:b/>
                <w:szCs w:val="21"/>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广安市人民医院/四川大学华西医院广安医院电梯维保服务</w:t>
            </w:r>
            <w:r>
              <w:rPr>
                <w:rFonts w:hint="eastAsia" w:ascii="宋体"/>
                <w:color w:val="000000" w:themeColor="text1"/>
                <w:szCs w:val="21"/>
                <w:lang w:val="en-US" w:eastAsia="zh-CN"/>
                <w14:textFill>
                  <w14:solidFill>
                    <w14:schemeClr w14:val="tx1"/>
                  </w14:solidFill>
                </w14:textFill>
              </w:rPr>
              <w:t>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最高限价</w:t>
            </w:r>
          </w:p>
          <w:p w14:paraId="16EC0BF3">
            <w:pPr>
              <w:pStyle w:val="17"/>
              <w:keepNext w:val="0"/>
              <w:keepLines w:val="0"/>
              <w:suppressLineNumbers w:val="0"/>
              <w:spacing w:before="0" w:beforeAutospacing="0" w:after="0" w:afterAutospacing="0" w:line="240" w:lineRule="auto"/>
              <w:ind w:left="0" w:right="0"/>
              <w:jc w:val="center"/>
              <w:rPr>
                <w:rFonts w:hint="default" w:hAnsi="Calibri"/>
                <w:sz w:val="21"/>
                <w:szCs w:val="21"/>
              </w:rPr>
            </w:pPr>
            <w:r>
              <w:rPr>
                <w:rFonts w:hint="eastAsia" w:hAnsi="Calibri"/>
                <w:sz w:val="21"/>
                <w:szCs w:val="21"/>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不正当</w:t>
            </w:r>
          </w:p>
          <w:p w14:paraId="6C04FF2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竞争预防措施</w:t>
            </w:r>
          </w:p>
          <w:p w14:paraId="3EDDC958">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szCs w:val="21"/>
              </w:rPr>
            </w:pPr>
            <w:r>
              <w:rPr>
                <w:rFonts w:hint="eastAsia"/>
                <w:szCs w:val="21"/>
              </w:rPr>
              <w:t>采购响应有效期</w:t>
            </w:r>
          </w:p>
          <w:p w14:paraId="763BDDBE">
            <w:pPr>
              <w:keepNext w:val="0"/>
              <w:keepLines w:val="0"/>
              <w:suppressLineNumbers w:val="0"/>
              <w:spacing w:before="0" w:beforeAutospacing="0" w:after="0" w:afterAutospacing="0"/>
              <w:ind w:left="0" w:right="0"/>
              <w:jc w:val="center"/>
              <w:rPr>
                <w:rFonts w:hint="default"/>
                <w:szCs w:val="21"/>
              </w:rPr>
            </w:pPr>
            <w:r>
              <w:rPr>
                <w:rFonts w:hint="eastAsia" w:ascii="宋体"/>
                <w:szCs w:val="21"/>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szCs w:val="21"/>
              </w:rPr>
            </w:pPr>
            <w:r>
              <w:rPr>
                <w:rFonts w:hint="eastAsia"/>
                <w:szCs w:val="21"/>
              </w:rPr>
              <w:t>递交采购申请文件截止时间起</w:t>
            </w:r>
            <w:r>
              <w:rPr>
                <w:rFonts w:hint="default"/>
                <w:szCs w:val="21"/>
              </w:rPr>
              <w:t>90</w:t>
            </w:r>
            <w:r>
              <w:rPr>
                <w:rFonts w:hint="eastAsia"/>
                <w:szCs w:val="21"/>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szCs w:val="21"/>
              </w:rPr>
            </w:pPr>
            <w:r>
              <w:rPr>
                <w:rFonts w:hint="eastAsia"/>
                <w:szCs w:val="21"/>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szCs w:val="21"/>
              </w:rPr>
            </w:pPr>
            <w:r>
              <w:rPr>
                <w:rFonts w:hint="eastAsia" w:ascii="宋体"/>
                <w:b/>
                <w:bCs/>
                <w:szCs w:val="21"/>
              </w:rPr>
              <w:t>采购申请文件的正本和副本应密封包装。</w:t>
            </w:r>
            <w:r>
              <w:rPr>
                <w:rFonts w:hint="eastAsia" w:ascii="宋体"/>
                <w:b/>
                <w:bCs/>
                <w:szCs w:val="21"/>
                <w:lang w:eastAsia="zh-CN"/>
              </w:rPr>
              <w:t>封面注明正本或副本字样</w:t>
            </w:r>
            <w:r>
              <w:rPr>
                <w:rFonts w:hint="eastAsia" w:ascii="宋体"/>
                <w:b/>
                <w:bCs/>
                <w:szCs w:val="21"/>
                <w:lang w:val="en-US" w:eastAsia="zh-CN"/>
              </w:rPr>
              <w:t>,包装袋注明联系方式</w:t>
            </w:r>
            <w:r>
              <w:rPr>
                <w:rFonts w:hint="eastAsia" w:ascii="宋体" w:hAnsi="Calibri" w:eastAsia="宋体" w:cs="Times New Roman"/>
                <w:b/>
                <w:bCs/>
                <w:kern w:val="2"/>
                <w:sz w:val="21"/>
                <w:szCs w:val="21"/>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kern w:val="0"/>
                <w:szCs w:val="21"/>
              </w:rPr>
            </w:pPr>
            <w:r>
              <w:rPr>
                <w:rFonts w:hint="eastAsia" w:ascii="宋体" w:cs="Courier New"/>
                <w:kern w:val="0"/>
                <w:szCs w:val="21"/>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评审方法</w:t>
            </w:r>
          </w:p>
          <w:p w14:paraId="4F370CD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szCs w:val="21"/>
              </w:rPr>
            </w:pPr>
            <w:r>
              <w:rPr>
                <w:rFonts w:hint="eastAsia"/>
                <w:szCs w:val="21"/>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szCs w:val="21"/>
              </w:rPr>
            </w:pPr>
            <w:r>
              <w:rPr>
                <w:rFonts w:hint="default" w:ascii="宋体"/>
                <w:szCs w:val="21"/>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szCs w:val="21"/>
              </w:rPr>
            </w:pPr>
            <w:bookmarkStart w:id="6" w:name="_Toc365040661"/>
            <w:r>
              <w:rPr>
                <w:rFonts w:hint="eastAsia" w:ascii="宋体"/>
                <w:szCs w:val="21"/>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szCs w:val="21"/>
                <w:highlight w:val="none"/>
              </w:rPr>
            </w:pPr>
            <w:r>
              <w:rPr>
                <w:rFonts w:hint="eastAsia" w:ascii="宋体"/>
                <w:szCs w:val="21"/>
                <w:highlight w:val="none"/>
              </w:rPr>
              <w:t>履约保证金</w:t>
            </w:r>
          </w:p>
          <w:p w14:paraId="256F914F">
            <w:pPr>
              <w:pStyle w:val="17"/>
              <w:keepNext w:val="0"/>
              <w:keepLines w:val="0"/>
              <w:suppressLineNumbers w:val="0"/>
              <w:spacing w:before="0" w:beforeAutospacing="0" w:after="0" w:afterAutospacing="0" w:line="240" w:lineRule="auto"/>
              <w:ind w:left="0" w:right="0"/>
              <w:jc w:val="center"/>
              <w:rPr>
                <w:rFonts w:hint="default" w:hAnsi="Calibri"/>
                <w:sz w:val="21"/>
                <w:szCs w:val="21"/>
                <w:highlight w:val="none"/>
              </w:rPr>
            </w:pPr>
            <w:r>
              <w:rPr>
                <w:rFonts w:hint="eastAsia" w:hAnsi="Calibri"/>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szCs w:val="21"/>
                <w:highlight w:val="none"/>
                <w:lang w:eastAsia="zh-CN"/>
              </w:rPr>
            </w:pPr>
            <w:r>
              <w:rPr>
                <w:rFonts w:hint="eastAsia" w:ascii="宋体"/>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szCs w:val="21"/>
              </w:rPr>
            </w:pPr>
            <w:r>
              <w:rPr>
                <w:rFonts w:hint="eastAsia" w:ascii="宋体"/>
                <w:szCs w:val="21"/>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szCs w:val="21"/>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szCs w:val="21"/>
              </w:rPr>
            </w:pPr>
            <w:r>
              <w:rPr>
                <w:rFonts w:hint="eastAsia" w:ascii="宋体" w:hAnsi="宋体"/>
                <w:szCs w:val="21"/>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szCs w:val="21"/>
              </w:rPr>
            </w:pPr>
            <w:r>
              <w:rPr>
                <w:rFonts w:hint="eastAsia" w:ascii="宋体"/>
                <w:szCs w:val="21"/>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申请人对采购评审结果提出异议的截止时间和方式</w:t>
            </w:r>
          </w:p>
        </w:tc>
        <w:tc>
          <w:tcPr>
            <w:tcW w:w="6783" w:type="dxa"/>
            <w:vAlign w:val="center"/>
          </w:tcPr>
          <w:p w14:paraId="3DF7D577">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rFonts w:hint="default"/>
                <w:sz w:val="21"/>
                <w:szCs w:val="21"/>
              </w:rPr>
              <w:t>3</w:t>
            </w:r>
            <w:r>
              <w:rPr>
                <w:rFonts w:hint="eastAsia"/>
                <w:sz w:val="21"/>
                <w:szCs w:val="21"/>
              </w:rPr>
              <w:t>日内</w:t>
            </w:r>
            <w:r>
              <w:rPr>
                <w:rFonts w:hint="eastAsia" w:hAnsi="Calibri"/>
                <w:sz w:val="21"/>
                <w:szCs w:val="21"/>
              </w:rPr>
              <w:t>以书面形式向采购人提出，否则视为完全认同采购结果。</w:t>
            </w:r>
          </w:p>
          <w:p w14:paraId="50AE41A2">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FB024C6">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①异议书必须具有明确的请求和必要的证明材料。</w:t>
            </w:r>
          </w:p>
          <w:p w14:paraId="15A57BA5">
            <w:pPr>
              <w:pStyle w:val="17"/>
              <w:keepNext w:val="0"/>
              <w:keepLines w:val="0"/>
              <w:suppressLineNumbers w:val="0"/>
              <w:spacing w:before="0" w:beforeAutospacing="0" w:after="0" w:afterAutospacing="0"/>
              <w:ind w:left="0" w:right="0"/>
              <w:rPr>
                <w:rFonts w:hint="default" w:hAnsi="Calibri"/>
                <w:sz w:val="21"/>
                <w:szCs w:val="21"/>
              </w:rPr>
            </w:pPr>
            <w:r>
              <w:rPr>
                <w:rFonts w:hint="eastAsia" w:hAnsi="Calibri"/>
                <w:sz w:val="21"/>
                <w:szCs w:val="21"/>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szCs w:val="21"/>
              </w:rPr>
            </w:pPr>
            <w:r>
              <w:rPr>
                <w:rFonts w:hint="eastAsia" w:ascii="宋体" w:hAnsi="宋体"/>
                <w:szCs w:val="21"/>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szCs w:val="21"/>
              </w:rPr>
            </w:pPr>
            <w:r>
              <w:rPr>
                <w:rFonts w:hint="eastAsia" w:ascii="宋体"/>
                <w:szCs w:val="21"/>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szCs w:val="21"/>
              </w:rPr>
            </w:pPr>
            <w:r>
              <w:rPr>
                <w:rFonts w:hint="eastAsia" w:ascii="宋体"/>
                <w:szCs w:val="21"/>
              </w:rPr>
              <w:t>本项目公告</w:t>
            </w:r>
            <w:r>
              <w:rPr>
                <w:rFonts w:hint="eastAsia" w:ascii="宋体"/>
                <w:szCs w:val="21"/>
                <w:lang w:eastAsia="zh-CN"/>
              </w:rPr>
              <w:t>于</w:t>
            </w:r>
            <w:r>
              <w:rPr>
                <w:rFonts w:hint="eastAsia" w:ascii="宋体"/>
                <w:szCs w:val="21"/>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szCs w:val="21"/>
              </w:rPr>
            </w:pPr>
            <w:r>
              <w:rPr>
                <w:rFonts w:hint="eastAsia" w:ascii="宋体"/>
                <w:szCs w:val="21"/>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严禁转包和违法分包</w:t>
            </w:r>
          </w:p>
          <w:p w14:paraId="414C457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w:t>
            </w:r>
            <w:r>
              <w:rPr>
                <w:rFonts w:hint="default" w:ascii="宋体"/>
                <w:szCs w:val="21"/>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w:t>
            </w:r>
            <w:r>
              <w:rPr>
                <w:rFonts w:hint="eastAsia" w:ascii="宋体"/>
                <w:szCs w:val="21"/>
                <w:lang w:eastAsia="zh-CN"/>
              </w:rPr>
              <w:t>（详见第六章）</w:t>
            </w:r>
            <w:r>
              <w:rPr>
                <w:rFonts w:hint="eastAsia" w:ascii="宋体"/>
                <w:szCs w:val="21"/>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szCs w:val="21"/>
              </w:rPr>
            </w:pPr>
            <w:r>
              <w:rPr>
                <w:rFonts w:hint="eastAsia" w:ascii="宋体"/>
                <w:szCs w:val="21"/>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本采购文件的最终解释权归采购人所有。</w:t>
            </w:r>
          </w:p>
        </w:tc>
      </w:tr>
      <w:tr w14:paraId="6040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27B6379">
            <w:pPr>
              <w:keepNext w:val="0"/>
              <w:keepLines w:val="0"/>
              <w:suppressLineNumbers w:val="0"/>
              <w:spacing w:before="0" w:beforeAutospacing="0" w:after="0" w:afterAutospacing="0" w:line="360" w:lineRule="auto"/>
              <w:ind w:left="0" w:right="0"/>
              <w:jc w:val="center"/>
              <w:rPr>
                <w:rFonts w:hint="default" w:ascii="宋体" w:eastAsia="宋体"/>
                <w:szCs w:val="21"/>
                <w:lang w:val="en-US" w:eastAsia="zh-CN"/>
              </w:rPr>
            </w:pPr>
            <w:r>
              <w:rPr>
                <w:rFonts w:hint="eastAsia" w:ascii="宋体"/>
                <w:szCs w:val="21"/>
                <w:lang w:val="en-US" w:eastAsia="zh-CN"/>
              </w:rPr>
              <w:t>15.5</w:t>
            </w:r>
          </w:p>
        </w:tc>
        <w:tc>
          <w:tcPr>
            <w:tcW w:w="1842" w:type="dxa"/>
            <w:vAlign w:val="center"/>
          </w:tcPr>
          <w:p w14:paraId="6632B2D0">
            <w:pPr>
              <w:keepNext w:val="0"/>
              <w:keepLines w:val="0"/>
              <w:suppressLineNumbers w:val="0"/>
              <w:spacing w:before="0" w:beforeAutospacing="0" w:after="0" w:afterAutospacing="0"/>
              <w:ind w:left="0" w:right="0"/>
              <w:jc w:val="center"/>
              <w:rPr>
                <w:rFonts w:hint="default" w:ascii="宋体" w:eastAsia="宋体"/>
                <w:szCs w:val="21"/>
                <w:lang w:val="en-US" w:eastAsia="zh-CN"/>
              </w:rPr>
            </w:pPr>
            <w:r>
              <w:rPr>
                <w:rFonts w:hint="eastAsia" w:ascii="宋体"/>
                <w:szCs w:val="21"/>
              </w:rPr>
              <w:t>踏勘现场</w:t>
            </w:r>
          </w:p>
        </w:tc>
        <w:tc>
          <w:tcPr>
            <w:tcW w:w="6783" w:type="dxa"/>
            <w:vAlign w:val="center"/>
          </w:tcPr>
          <w:p w14:paraId="3FEE9D51">
            <w:pPr>
              <w:keepNext w:val="0"/>
              <w:keepLines w:val="0"/>
              <w:suppressLineNumbers w:val="0"/>
              <w:spacing w:before="0" w:beforeAutospacing="0" w:after="0" w:afterAutospacing="0" w:line="360" w:lineRule="auto"/>
              <w:ind w:left="0" w:right="0"/>
              <w:rPr>
                <w:rFonts w:hint="eastAsia" w:ascii="宋体"/>
                <w:szCs w:val="21"/>
              </w:rPr>
            </w:pPr>
            <w:r>
              <w:rPr>
                <w:rFonts w:hint="eastAsia" w:ascii="宋体"/>
                <w:szCs w:val="21"/>
                <w:lang w:val="en-US" w:eastAsia="zh-CN"/>
              </w:rPr>
              <w:t xml:space="preserve">1 </w:t>
            </w:r>
            <w:r>
              <w:rPr>
                <w:rFonts w:hint="eastAsia" w:ascii="宋体"/>
                <w:szCs w:val="21"/>
              </w:rPr>
              <w:t>采购人不统一组织踏勘现场。采购申请人可自行对项目现场及其周围环境进行考察，以充分了解项目实施位置、情况、及任何其他足以影响报价的情况，任何因忽视或误解现场情况而导致的索赔申请将被拒绝，采购人不对未进行现场踏勘产生的后果负责。</w:t>
            </w:r>
          </w:p>
          <w:p w14:paraId="1686EE5C">
            <w:pPr>
              <w:keepNext w:val="0"/>
              <w:keepLines w:val="0"/>
              <w:suppressLineNumbers w:val="0"/>
              <w:spacing w:before="0" w:beforeAutospacing="0" w:after="0" w:afterAutospacing="0" w:line="360" w:lineRule="auto"/>
              <w:ind w:left="0" w:right="0"/>
              <w:rPr>
                <w:rFonts w:hint="eastAsia" w:ascii="宋体"/>
                <w:szCs w:val="21"/>
              </w:rPr>
            </w:pPr>
            <w:r>
              <w:rPr>
                <w:rFonts w:hint="eastAsia" w:ascii="宋体"/>
                <w:szCs w:val="21"/>
              </w:rPr>
              <w:t>2 在现场踏勘过程中，采购申请人应注意安全，如果发生人身伤亡、财务或其他损失，不论何种原因所造成，采购人概不负责。</w:t>
            </w:r>
          </w:p>
          <w:p w14:paraId="1F7B5A87">
            <w:pPr>
              <w:keepNext w:val="0"/>
              <w:keepLines w:val="0"/>
              <w:suppressLineNumbers w:val="0"/>
              <w:spacing w:before="0" w:beforeAutospacing="0" w:after="0" w:afterAutospacing="0" w:line="360" w:lineRule="auto"/>
              <w:ind w:left="0" w:right="0"/>
              <w:rPr>
                <w:rFonts w:hint="eastAsia" w:ascii="宋体"/>
                <w:szCs w:val="21"/>
              </w:rPr>
            </w:pPr>
            <w:r>
              <w:rPr>
                <w:rFonts w:hint="eastAsia" w:ascii="宋体"/>
                <w:szCs w:val="21"/>
              </w:rPr>
              <w:t>3 现场踏勘发生的一切相关费用由各采购申请人自行承担。</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eastAsia" w:ascii="宋体" w:eastAsia="宋体"/>
                <w:szCs w:val="21"/>
                <w:lang w:val="en-US" w:eastAsia="zh-CN"/>
              </w:rPr>
            </w:pPr>
            <w:r>
              <w:rPr>
                <w:rFonts w:hint="default" w:ascii="宋体"/>
                <w:szCs w:val="21"/>
              </w:rPr>
              <w:t>1</w:t>
            </w:r>
            <w:r>
              <w:rPr>
                <w:rFonts w:hint="eastAsia" w:ascii="宋体"/>
                <w:szCs w:val="21"/>
              </w:rPr>
              <w:t>5.</w:t>
            </w:r>
            <w:r>
              <w:rPr>
                <w:rFonts w:hint="eastAsia" w:ascii="宋体"/>
                <w:szCs w:val="21"/>
                <w:lang w:val="en-US" w:eastAsia="zh-CN"/>
              </w:rPr>
              <w:t>6</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szCs w:val="21"/>
              </w:rPr>
            </w:pPr>
            <w:r>
              <w:rPr>
                <w:rFonts w:hint="eastAsia" w:ascii="宋体"/>
                <w:szCs w:val="21"/>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szCs w:val="21"/>
              </w:rPr>
            </w:pPr>
            <w:r>
              <w:rPr>
                <w:rFonts w:hint="eastAsia" w:ascii="宋体"/>
                <w:szCs w:val="21"/>
              </w:rPr>
              <w:t>注：本采购申请人须知前附表与采购文件的其他内容不一致时，以本表内容为准。</w:t>
            </w:r>
          </w:p>
        </w:tc>
      </w:tr>
    </w:tbl>
    <w:p w14:paraId="5248424A">
      <w:pPr>
        <w:rPr>
          <w:rFonts w:hint="eastAsia"/>
        </w:rPr>
      </w:pPr>
      <w:bookmarkStart w:id="7" w:name="_Toc150831011"/>
      <w:bookmarkStart w:id="8" w:name="_Toc134536603"/>
      <w:bookmarkStart w:id="9" w:name="_Toc146532506"/>
      <w:r>
        <w:rPr>
          <w:rFonts w:hint="eastAsia"/>
        </w:rPr>
        <w:br w:type="page"/>
      </w:r>
    </w:p>
    <w:p w14:paraId="12F7F411">
      <w:pPr>
        <w:pStyle w:val="39"/>
      </w:pPr>
      <w:r>
        <w:rPr>
          <w:rFonts w:hint="eastAsia"/>
        </w:rPr>
        <w:t>第三章  采购申请文件格式</w:t>
      </w:r>
      <w:bookmarkEnd w:id="7"/>
      <w:bookmarkEnd w:id="8"/>
      <w:bookmarkEnd w:id="9"/>
    </w:p>
    <w:p w14:paraId="7AEF8E1B">
      <w:pPr>
        <w:tabs>
          <w:tab w:val="left" w:pos="432"/>
        </w:tabs>
        <w:jc w:val="center"/>
        <w:outlineLvl w:val="0"/>
        <w:rPr>
          <w:rFonts w:ascii="华文中宋" w:hAnsi="华文中宋" w:eastAsia="华文中宋"/>
          <w:b/>
          <w:sz w:val="36"/>
          <w:szCs w:val="36"/>
        </w:rPr>
      </w:pPr>
    </w:p>
    <w:p w14:paraId="7761B099">
      <w:pPr>
        <w:pStyle w:val="12"/>
        <w:rPr>
          <w:rFonts w:ascii="宋体" w:hAnsi="宋体"/>
          <w:b/>
          <w:sz w:val="28"/>
          <w:szCs w:val="28"/>
        </w:rPr>
      </w:pPr>
      <w:r>
        <w:rPr>
          <w:rFonts w:hint="eastAsia" w:ascii="宋体" w:hAnsi="宋体"/>
          <w:b/>
          <w:sz w:val="28"/>
          <w:szCs w:val="28"/>
        </w:rPr>
        <w:t>封面</w:t>
      </w:r>
    </w:p>
    <w:p w14:paraId="02399379">
      <w:pPr>
        <w:pStyle w:val="12"/>
        <w:rPr>
          <w:rFonts w:ascii="宋体" w:hAnsi="宋体"/>
          <w:b/>
          <w:sz w:val="24"/>
          <w:szCs w:val="24"/>
        </w:rPr>
      </w:pPr>
    </w:p>
    <w:p w14:paraId="38116742">
      <w:pPr>
        <w:pStyle w:val="12"/>
        <w:rPr>
          <w:rFonts w:ascii="宋体" w:hAnsi="宋体"/>
          <w:b/>
          <w:sz w:val="24"/>
          <w:szCs w:val="24"/>
        </w:rPr>
      </w:pPr>
    </w:p>
    <w:p w14:paraId="65FE1261">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20D7243">
      <w:pPr>
        <w:spacing w:line="480" w:lineRule="exact"/>
        <w:ind w:firstLine="482" w:firstLineChars="200"/>
        <w:jc w:val="center"/>
        <w:rPr>
          <w:rFonts w:ascii="宋体" w:hAnsi="宋体"/>
          <w:b/>
          <w:sz w:val="24"/>
        </w:rPr>
      </w:pPr>
    </w:p>
    <w:p w14:paraId="4D6B0A7F">
      <w:pPr>
        <w:spacing w:line="480" w:lineRule="exact"/>
        <w:ind w:firstLine="482" w:firstLineChars="200"/>
        <w:jc w:val="center"/>
        <w:rPr>
          <w:rFonts w:ascii="宋体" w:hAnsi="宋体"/>
          <w:b/>
          <w:sz w:val="24"/>
        </w:rPr>
      </w:pPr>
    </w:p>
    <w:p w14:paraId="09965F6C">
      <w:pPr>
        <w:spacing w:line="480" w:lineRule="exact"/>
        <w:ind w:firstLine="482" w:firstLineChars="200"/>
        <w:jc w:val="center"/>
        <w:rPr>
          <w:rFonts w:ascii="宋体" w:hAnsi="宋体"/>
          <w:b/>
          <w:sz w:val="24"/>
        </w:rPr>
      </w:pPr>
    </w:p>
    <w:p w14:paraId="1F70033B">
      <w:pPr>
        <w:spacing w:line="480" w:lineRule="exact"/>
        <w:ind w:firstLine="482" w:firstLineChars="200"/>
        <w:jc w:val="center"/>
        <w:rPr>
          <w:rFonts w:ascii="宋体" w:hAnsi="宋体"/>
          <w:b/>
          <w:sz w:val="24"/>
        </w:rPr>
      </w:pPr>
    </w:p>
    <w:p w14:paraId="70C5CD36">
      <w:pPr>
        <w:spacing w:line="480" w:lineRule="exact"/>
        <w:ind w:firstLine="482" w:firstLineChars="200"/>
        <w:jc w:val="center"/>
        <w:rPr>
          <w:rFonts w:ascii="宋体" w:hAnsi="宋体"/>
          <w:b/>
          <w:sz w:val="24"/>
        </w:rPr>
      </w:pPr>
    </w:p>
    <w:p w14:paraId="3FA03AD2">
      <w:pPr>
        <w:spacing w:line="480" w:lineRule="exact"/>
        <w:ind w:firstLine="482" w:firstLineChars="200"/>
        <w:jc w:val="center"/>
        <w:rPr>
          <w:rFonts w:ascii="宋体" w:hAnsi="宋体"/>
          <w:b/>
          <w:sz w:val="24"/>
        </w:rPr>
      </w:pPr>
    </w:p>
    <w:p w14:paraId="0D17C7D3">
      <w:pPr>
        <w:spacing w:line="360" w:lineRule="auto"/>
        <w:jc w:val="center"/>
        <w:rPr>
          <w:rFonts w:ascii="宋体" w:hAnsi="宋体"/>
          <w:b/>
          <w:sz w:val="52"/>
          <w:szCs w:val="52"/>
        </w:rPr>
      </w:pPr>
      <w:r>
        <w:rPr>
          <w:rFonts w:hint="eastAsia" w:ascii="宋体" w:hAnsi="宋体"/>
          <w:b/>
          <w:sz w:val="52"/>
          <w:szCs w:val="52"/>
        </w:rPr>
        <w:t>采购申请文件</w:t>
      </w:r>
    </w:p>
    <w:p w14:paraId="5352A0B3">
      <w:pPr>
        <w:spacing w:line="480" w:lineRule="exact"/>
        <w:jc w:val="center"/>
        <w:rPr>
          <w:rFonts w:ascii="宋体" w:hAnsi="宋体"/>
          <w:b/>
          <w:sz w:val="48"/>
          <w:szCs w:val="48"/>
        </w:rPr>
      </w:pPr>
    </w:p>
    <w:p w14:paraId="7A73FD82">
      <w:pPr>
        <w:spacing w:line="480" w:lineRule="exact"/>
        <w:ind w:firstLine="480" w:firstLineChars="200"/>
        <w:rPr>
          <w:rFonts w:ascii="宋体" w:hAnsi="宋体"/>
          <w:sz w:val="24"/>
        </w:rPr>
      </w:pPr>
    </w:p>
    <w:p w14:paraId="44CE813E">
      <w:pPr>
        <w:spacing w:line="480" w:lineRule="exact"/>
        <w:ind w:firstLine="480" w:firstLineChars="200"/>
        <w:rPr>
          <w:rFonts w:ascii="宋体" w:hAnsi="宋体"/>
          <w:sz w:val="24"/>
        </w:rPr>
      </w:pPr>
    </w:p>
    <w:p w14:paraId="1EF2AF0D">
      <w:pPr>
        <w:spacing w:line="480" w:lineRule="exact"/>
        <w:ind w:firstLine="480" w:firstLineChars="200"/>
        <w:rPr>
          <w:rFonts w:ascii="宋体" w:hAnsi="宋体"/>
          <w:sz w:val="24"/>
        </w:rPr>
      </w:pPr>
    </w:p>
    <w:p w14:paraId="6FA131D2">
      <w:pPr>
        <w:spacing w:line="480" w:lineRule="exact"/>
        <w:ind w:firstLine="480" w:firstLineChars="200"/>
        <w:rPr>
          <w:rFonts w:ascii="宋体" w:hAnsi="宋体"/>
          <w:sz w:val="24"/>
        </w:rPr>
      </w:pPr>
    </w:p>
    <w:p w14:paraId="27FA04B4">
      <w:pPr>
        <w:spacing w:line="480" w:lineRule="exact"/>
        <w:ind w:firstLine="480" w:firstLineChars="200"/>
        <w:rPr>
          <w:rFonts w:ascii="宋体" w:hAnsi="宋体"/>
          <w:sz w:val="24"/>
        </w:rPr>
      </w:pPr>
    </w:p>
    <w:p w14:paraId="4EEFFC0A">
      <w:pPr>
        <w:spacing w:line="480" w:lineRule="exact"/>
        <w:rPr>
          <w:rFonts w:ascii="宋体" w:hAnsi="宋体"/>
          <w:sz w:val="24"/>
        </w:rPr>
      </w:pPr>
    </w:p>
    <w:p w14:paraId="49E3459F">
      <w:pPr>
        <w:spacing w:line="480" w:lineRule="exact"/>
        <w:ind w:firstLine="480" w:firstLineChars="200"/>
        <w:rPr>
          <w:rFonts w:ascii="宋体" w:hAnsi="宋体"/>
          <w:sz w:val="24"/>
        </w:rPr>
      </w:pPr>
    </w:p>
    <w:p w14:paraId="4442B407">
      <w:pPr>
        <w:spacing w:line="480" w:lineRule="exact"/>
        <w:ind w:firstLine="1771" w:firstLineChars="735"/>
        <w:rPr>
          <w:rFonts w:ascii="宋体" w:hAnsi="宋体"/>
          <w:b/>
          <w:sz w:val="24"/>
        </w:rPr>
      </w:pPr>
      <w:r>
        <w:rPr>
          <w:rFonts w:hint="eastAsia" w:ascii="宋体" w:hAnsi="宋体"/>
          <w:b/>
          <w:sz w:val="24"/>
        </w:rPr>
        <w:t>采购申请人：（盖单位章）</w:t>
      </w:r>
    </w:p>
    <w:p w14:paraId="2B4E5200">
      <w:pPr>
        <w:spacing w:line="480" w:lineRule="exact"/>
        <w:ind w:firstLine="482" w:firstLineChars="200"/>
        <w:jc w:val="center"/>
        <w:rPr>
          <w:rFonts w:ascii="宋体" w:hAnsi="宋体"/>
          <w:b/>
          <w:sz w:val="24"/>
        </w:rPr>
      </w:pPr>
    </w:p>
    <w:p w14:paraId="65766B06">
      <w:pPr>
        <w:spacing w:line="480" w:lineRule="exact"/>
        <w:ind w:firstLine="200"/>
        <w:jc w:val="center"/>
        <w:rPr>
          <w:rFonts w:ascii="宋体" w:hAnsi="宋体"/>
          <w:b/>
          <w:sz w:val="24"/>
          <w:u w:val="single"/>
        </w:rPr>
      </w:pPr>
    </w:p>
    <w:p w14:paraId="184D448F">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425CF4A2">
      <w:pPr>
        <w:spacing w:line="360" w:lineRule="auto"/>
        <w:jc w:val="center"/>
        <w:rPr>
          <w:rFonts w:ascii="黑体" w:hAnsi="黑体" w:eastAsia="黑体"/>
          <w:b/>
          <w:bCs/>
          <w:sz w:val="28"/>
          <w:szCs w:val="28"/>
        </w:rPr>
      </w:pPr>
      <w:bookmarkStart w:id="11" w:name="_Toc476736016"/>
      <w:bookmarkStart w:id="12" w:name="_Toc453578485"/>
      <w:bookmarkStart w:id="13" w:name="_Toc325028467"/>
      <w:r>
        <w:rPr>
          <w:rFonts w:hint="eastAsia" w:ascii="黑体" w:hAnsi="黑体" w:eastAsia="黑体"/>
          <w:b/>
          <w:bCs/>
          <w:sz w:val="28"/>
          <w:szCs w:val="28"/>
        </w:rPr>
        <w:t>格式一、采购申请函</w:t>
      </w:r>
      <w:bookmarkEnd w:id="11"/>
      <w:bookmarkEnd w:id="12"/>
      <w:bookmarkEnd w:id="13"/>
    </w:p>
    <w:p w14:paraId="012C584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199B861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3CDBC01C">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714E8CD">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89A3D1B">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7C1EB55">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95C459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11B148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175AB2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9C6312B">
      <w:pPr>
        <w:spacing w:line="480" w:lineRule="auto"/>
        <w:ind w:firstLine="454"/>
        <w:rPr>
          <w:rFonts w:hint="eastAsia"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9D31C88">
      <w:pPr>
        <w:spacing w:line="480" w:lineRule="auto"/>
        <w:ind w:firstLine="454"/>
      </w:pPr>
      <w:r>
        <w:rPr>
          <w:rFonts w:hint="eastAsia"/>
          <w:sz w:val="24"/>
        </w:rPr>
        <w:t>（5）满足法律、行政法规规定的其他条件</w:t>
      </w:r>
    </w:p>
    <w:p w14:paraId="2A7906CC">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F4F98E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1C5819F">
      <w:pPr>
        <w:spacing w:line="360" w:lineRule="auto"/>
        <w:ind w:left="239"/>
        <w:rPr>
          <w:rFonts w:ascii="宋体" w:hAnsi="宋体" w:cs="Arial"/>
          <w:sz w:val="24"/>
          <w:u w:val="single"/>
        </w:rPr>
      </w:pPr>
      <w:r>
        <w:rPr>
          <w:rFonts w:ascii="宋体" w:hAnsi="宋体" w:cs="Arial"/>
          <w:sz w:val="24"/>
        </w:rPr>
        <w:t>法定代表人或授权代理人（签字）：</w:t>
      </w:r>
    </w:p>
    <w:p w14:paraId="3D034C7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216B1046">
      <w:pPr>
        <w:spacing w:line="360" w:lineRule="auto"/>
        <w:ind w:firstLine="240"/>
        <w:rPr>
          <w:rFonts w:ascii="宋体" w:hAnsi="宋体" w:cs="Arial"/>
          <w:sz w:val="24"/>
        </w:rPr>
      </w:pPr>
      <w:r>
        <w:rPr>
          <w:rFonts w:ascii="宋体" w:hAnsi="宋体" w:cs="Arial"/>
          <w:sz w:val="24"/>
        </w:rPr>
        <w:t>电话：</w:t>
      </w:r>
    </w:p>
    <w:p w14:paraId="1C3340D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4EF182B">
      <w:pPr>
        <w:spacing w:line="360" w:lineRule="auto"/>
        <w:jc w:val="center"/>
        <w:rPr>
          <w:rFonts w:hint="eastAsia" w:ascii="黑体" w:hAnsi="黑体" w:eastAsia="黑体"/>
          <w:b/>
          <w:bCs/>
          <w:sz w:val="28"/>
          <w:szCs w:val="28"/>
          <w:lang w:eastAsia="zh-CN"/>
        </w:rPr>
      </w:pPr>
      <w:bookmarkStart w:id="14" w:name="_Toc184704625"/>
      <w:bookmarkStart w:id="15" w:name="_Toc460503083"/>
      <w:bookmarkStart w:id="16" w:name="_Toc217446083"/>
      <w:bookmarkStart w:id="17" w:name="_Toc280877425"/>
      <w:bookmarkStart w:id="18" w:name="_Toc300303160"/>
      <w:bookmarkStart w:id="19" w:name="_Toc321598257"/>
      <w:r>
        <w:rPr>
          <w:rFonts w:hint="eastAsia" w:ascii="黑体" w:hAnsi="黑体"/>
          <w:b/>
          <w:bCs/>
          <w:sz w:val="28"/>
          <w:szCs w:val="28"/>
        </w:rPr>
        <w:br w:type="page"/>
      </w:r>
      <w:bookmarkEnd w:id="14"/>
      <w:bookmarkEnd w:id="15"/>
      <w:r>
        <w:rPr>
          <w:rFonts w:hint="eastAsia" w:ascii="黑体" w:hAnsi="黑体" w:eastAsia="黑体"/>
          <w:b/>
          <w:bCs/>
          <w:sz w:val="28"/>
          <w:szCs w:val="28"/>
        </w:rPr>
        <w:t>格式二、</w:t>
      </w:r>
      <w:r>
        <w:rPr>
          <w:rFonts w:hint="eastAsia" w:ascii="黑体" w:hAnsi="黑体" w:eastAsia="黑体"/>
          <w:b/>
          <w:bCs/>
          <w:sz w:val="28"/>
          <w:szCs w:val="28"/>
          <w:lang w:eastAsia="zh-CN"/>
        </w:rPr>
        <w:t>营业执照</w:t>
      </w:r>
    </w:p>
    <w:p w14:paraId="0532B61C">
      <w:pPr>
        <w:rPr>
          <w:rFonts w:hint="eastAsia" w:ascii="黑体" w:hAnsi="黑体" w:eastAsia="黑体"/>
          <w:b/>
          <w:bCs/>
          <w:sz w:val="28"/>
          <w:szCs w:val="28"/>
        </w:rPr>
      </w:pPr>
      <w:r>
        <w:rPr>
          <w:rFonts w:hint="eastAsia" w:ascii="黑体" w:hAnsi="黑体" w:eastAsia="黑体"/>
          <w:b/>
          <w:bCs/>
          <w:sz w:val="28"/>
          <w:szCs w:val="28"/>
        </w:rPr>
        <w:br w:type="page"/>
      </w:r>
    </w:p>
    <w:p w14:paraId="2A69F223">
      <w:pPr>
        <w:spacing w:line="360" w:lineRule="auto"/>
        <w:jc w:val="center"/>
        <w:rPr>
          <w:rFonts w:ascii="黑体" w:hAnsi="黑体" w:eastAsia="黑体"/>
          <w:b/>
          <w:bCs/>
          <w:sz w:val="28"/>
          <w:szCs w:val="28"/>
        </w:rPr>
      </w:pPr>
      <w:r>
        <w:rPr>
          <w:rFonts w:hint="eastAsia" w:ascii="黑体" w:hAnsi="黑体" w:eastAsia="黑体"/>
          <w:b/>
          <w:bCs/>
          <w:sz w:val="28"/>
          <w:szCs w:val="28"/>
          <w:lang w:eastAsia="zh-CN"/>
        </w:rPr>
        <w:t>格式三、</w:t>
      </w:r>
      <w:r>
        <w:rPr>
          <w:rFonts w:hint="eastAsia" w:ascii="黑体" w:hAnsi="黑体" w:eastAsia="黑体"/>
          <w:b/>
          <w:bCs/>
          <w:sz w:val="28"/>
          <w:szCs w:val="28"/>
        </w:rPr>
        <w:t>法定代表人证明书（如涉及）</w:t>
      </w:r>
    </w:p>
    <w:p w14:paraId="0B8160D1">
      <w:pPr>
        <w:spacing w:line="360" w:lineRule="auto"/>
        <w:ind w:firstLine="420" w:firstLineChars="200"/>
        <w:rPr>
          <w:rFonts w:hAnsi="宋体"/>
        </w:rPr>
      </w:pPr>
    </w:p>
    <w:p w14:paraId="5D2F9A1C">
      <w:pPr>
        <w:spacing w:line="360" w:lineRule="auto"/>
        <w:ind w:firstLine="480" w:firstLineChars="200"/>
        <w:rPr>
          <w:rFonts w:hAnsi="宋体"/>
          <w:sz w:val="24"/>
        </w:rPr>
      </w:pPr>
      <w:r>
        <w:rPr>
          <w:rFonts w:hint="eastAsia" w:hAnsi="宋体"/>
          <w:sz w:val="24"/>
        </w:rPr>
        <w:t>采购申请人名称：</w:t>
      </w:r>
    </w:p>
    <w:p w14:paraId="4681696E">
      <w:pPr>
        <w:spacing w:line="360" w:lineRule="auto"/>
        <w:ind w:firstLine="480" w:firstLineChars="200"/>
        <w:rPr>
          <w:rFonts w:hAnsi="宋体"/>
          <w:sz w:val="24"/>
        </w:rPr>
      </w:pPr>
      <w:r>
        <w:rPr>
          <w:rFonts w:hint="eastAsia" w:hAnsi="宋体"/>
          <w:sz w:val="24"/>
        </w:rPr>
        <w:t>单位性质：</w:t>
      </w:r>
    </w:p>
    <w:p w14:paraId="2DA8DC0C">
      <w:pPr>
        <w:spacing w:line="360" w:lineRule="auto"/>
        <w:ind w:firstLine="480" w:firstLineChars="200"/>
        <w:rPr>
          <w:rFonts w:hAnsi="宋体"/>
          <w:sz w:val="24"/>
        </w:rPr>
      </w:pPr>
      <w:r>
        <w:rPr>
          <w:rFonts w:hint="eastAsia" w:hAnsi="宋体"/>
          <w:sz w:val="24"/>
        </w:rPr>
        <w:t>成立时间：年月日</w:t>
      </w:r>
    </w:p>
    <w:p w14:paraId="0C861372">
      <w:pPr>
        <w:spacing w:line="360" w:lineRule="auto"/>
        <w:ind w:firstLine="480" w:firstLineChars="200"/>
        <w:rPr>
          <w:rFonts w:hAnsi="宋体"/>
          <w:sz w:val="24"/>
        </w:rPr>
      </w:pPr>
      <w:r>
        <w:rPr>
          <w:rFonts w:hint="eastAsia" w:hAnsi="宋体"/>
          <w:sz w:val="24"/>
        </w:rPr>
        <w:t>经营期限：</w:t>
      </w:r>
    </w:p>
    <w:p w14:paraId="103EA958">
      <w:pPr>
        <w:spacing w:line="360" w:lineRule="auto"/>
        <w:ind w:firstLine="480" w:firstLineChars="200"/>
        <w:rPr>
          <w:rFonts w:hAnsi="宋体"/>
          <w:sz w:val="24"/>
        </w:rPr>
      </w:pPr>
      <w:r>
        <w:rPr>
          <w:rFonts w:hint="eastAsia" w:hAnsi="宋体"/>
          <w:sz w:val="24"/>
        </w:rPr>
        <w:t>姓名：性别：年龄：职务：</w:t>
      </w:r>
    </w:p>
    <w:p w14:paraId="39891F4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185E8F2">
      <w:pPr>
        <w:spacing w:line="360" w:lineRule="auto"/>
        <w:ind w:firstLine="960" w:firstLineChars="400"/>
        <w:rPr>
          <w:rFonts w:hAnsi="宋体"/>
          <w:sz w:val="24"/>
        </w:rPr>
      </w:pPr>
      <w:r>
        <w:rPr>
          <w:rFonts w:hint="eastAsia" w:hAnsi="宋体"/>
          <w:sz w:val="24"/>
        </w:rPr>
        <w:t>特此证明。</w:t>
      </w:r>
    </w:p>
    <w:p w14:paraId="76984056">
      <w:pPr>
        <w:spacing w:line="360" w:lineRule="auto"/>
        <w:ind w:firstLine="480" w:firstLineChars="200"/>
        <w:rPr>
          <w:rFonts w:hAnsi="宋体"/>
          <w:sz w:val="24"/>
        </w:rPr>
      </w:pPr>
    </w:p>
    <w:p w14:paraId="553BE769">
      <w:pPr>
        <w:spacing w:line="360" w:lineRule="auto"/>
        <w:ind w:firstLine="4920" w:firstLineChars="2050"/>
        <w:rPr>
          <w:rFonts w:hAnsi="宋体"/>
          <w:sz w:val="24"/>
        </w:rPr>
      </w:pPr>
    </w:p>
    <w:p w14:paraId="42852DE0">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C2FBC48">
      <w:pPr>
        <w:spacing w:line="360" w:lineRule="auto"/>
        <w:ind w:firstLine="484" w:firstLineChars="202"/>
        <w:jc w:val="left"/>
        <w:rPr>
          <w:rFonts w:hAnsi="宋体"/>
          <w:sz w:val="24"/>
        </w:rPr>
      </w:pPr>
      <w:r>
        <w:rPr>
          <w:rFonts w:hint="eastAsia" w:hAnsi="宋体"/>
          <w:sz w:val="24"/>
        </w:rPr>
        <w:t>日期：年月日</w:t>
      </w:r>
    </w:p>
    <w:p w14:paraId="4A9D491B">
      <w:pPr>
        <w:spacing w:line="360" w:lineRule="auto"/>
        <w:ind w:firstLine="484" w:firstLineChars="202"/>
        <w:jc w:val="left"/>
        <w:rPr>
          <w:rFonts w:hAnsi="宋体"/>
          <w:sz w:val="24"/>
        </w:rPr>
      </w:pPr>
    </w:p>
    <w:p w14:paraId="4EEA4AAA">
      <w:pPr>
        <w:spacing w:line="360" w:lineRule="auto"/>
        <w:ind w:firstLine="480" w:firstLineChars="200"/>
        <w:rPr>
          <w:rFonts w:hAnsi="宋体"/>
          <w:sz w:val="24"/>
        </w:rPr>
      </w:pPr>
    </w:p>
    <w:p w14:paraId="0848C9B6">
      <w:pPr>
        <w:spacing w:line="360" w:lineRule="auto"/>
        <w:ind w:firstLine="480" w:firstLineChars="200"/>
        <w:rPr>
          <w:rFonts w:hAnsi="宋体"/>
          <w:sz w:val="24"/>
        </w:rPr>
      </w:pPr>
    </w:p>
    <w:p w14:paraId="45121495">
      <w:pPr>
        <w:spacing w:line="360" w:lineRule="auto"/>
        <w:ind w:firstLine="480" w:firstLineChars="200"/>
        <w:rPr>
          <w:rFonts w:hAnsi="宋体"/>
          <w:sz w:val="24"/>
        </w:rPr>
      </w:pPr>
      <w:r>
        <w:rPr>
          <w:rFonts w:hint="eastAsia" w:hAnsi="宋体"/>
          <w:sz w:val="24"/>
        </w:rPr>
        <w:t>注：</w:t>
      </w:r>
    </w:p>
    <w:p w14:paraId="315C4257">
      <w:pPr>
        <w:spacing w:line="360" w:lineRule="auto"/>
        <w:ind w:firstLine="480" w:firstLineChars="200"/>
        <w:rPr>
          <w:rFonts w:hAnsi="宋体"/>
          <w:sz w:val="24"/>
        </w:rPr>
      </w:pPr>
      <w:r>
        <w:rPr>
          <w:rFonts w:hint="eastAsia" w:hAnsi="宋体"/>
          <w:sz w:val="24"/>
        </w:rPr>
        <w:t>1、须附法定代表人的身份证复印件（提供正反面）；</w:t>
      </w:r>
    </w:p>
    <w:p w14:paraId="161304AB">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2BB7F1D">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四</w:t>
      </w:r>
      <w:r>
        <w:rPr>
          <w:rFonts w:hint="eastAsia" w:ascii="黑体" w:hAnsi="黑体" w:eastAsia="黑体"/>
          <w:b/>
          <w:bCs/>
          <w:sz w:val="28"/>
          <w:szCs w:val="28"/>
        </w:rPr>
        <w:t>、法定代表人授权书</w:t>
      </w:r>
      <w:bookmarkEnd w:id="16"/>
      <w:r>
        <w:rPr>
          <w:rFonts w:hint="eastAsia" w:ascii="黑体" w:hAnsi="黑体" w:eastAsia="黑体"/>
          <w:b/>
          <w:bCs/>
          <w:sz w:val="28"/>
          <w:szCs w:val="28"/>
        </w:rPr>
        <w:t>（如涉及）</w:t>
      </w:r>
    </w:p>
    <w:p w14:paraId="3ECD1B9D">
      <w:pPr>
        <w:spacing w:line="400" w:lineRule="exact"/>
        <w:jc w:val="center"/>
        <w:rPr>
          <w:rFonts w:hAnsi="宋体"/>
          <w:b/>
          <w:bCs/>
          <w:sz w:val="44"/>
          <w:szCs w:val="44"/>
        </w:rPr>
      </w:pPr>
    </w:p>
    <w:p w14:paraId="2581B084">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A403C8A">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8DF6F8E">
      <w:pPr>
        <w:spacing w:line="360" w:lineRule="auto"/>
        <w:ind w:firstLine="480" w:firstLineChars="200"/>
        <w:rPr>
          <w:rFonts w:hAnsi="宋体"/>
          <w:sz w:val="24"/>
        </w:rPr>
      </w:pPr>
      <w:r>
        <w:rPr>
          <w:rFonts w:hint="eastAsia" w:hAnsi="宋体"/>
          <w:sz w:val="24"/>
        </w:rPr>
        <w:t>特此声明。</w:t>
      </w:r>
    </w:p>
    <w:p w14:paraId="1593AF6C">
      <w:pPr>
        <w:spacing w:line="400" w:lineRule="exact"/>
        <w:ind w:firstLine="480" w:firstLineChars="200"/>
        <w:rPr>
          <w:rFonts w:hAnsi="宋体"/>
          <w:sz w:val="24"/>
        </w:rPr>
      </w:pPr>
    </w:p>
    <w:p w14:paraId="7A0FB5A6">
      <w:pPr>
        <w:spacing w:line="400" w:lineRule="exact"/>
        <w:ind w:firstLine="480" w:firstLineChars="200"/>
        <w:rPr>
          <w:rFonts w:hAnsi="宋体"/>
          <w:sz w:val="24"/>
        </w:rPr>
      </w:pPr>
    </w:p>
    <w:p w14:paraId="170F33C2">
      <w:pPr>
        <w:spacing w:line="400" w:lineRule="exact"/>
        <w:ind w:firstLine="480" w:firstLineChars="200"/>
        <w:rPr>
          <w:rFonts w:hAnsi="宋体"/>
          <w:sz w:val="24"/>
          <w:u w:val="single"/>
        </w:rPr>
      </w:pPr>
      <w:r>
        <w:rPr>
          <w:rFonts w:hint="eastAsia" w:hAnsi="宋体"/>
          <w:sz w:val="24"/>
        </w:rPr>
        <w:t>法定代表人签字：</w:t>
      </w:r>
    </w:p>
    <w:p w14:paraId="53FF5B52">
      <w:pPr>
        <w:spacing w:line="400" w:lineRule="exact"/>
        <w:ind w:firstLine="480" w:firstLineChars="200"/>
        <w:rPr>
          <w:rFonts w:hAnsi="宋体"/>
          <w:sz w:val="24"/>
          <w:u w:val="single"/>
        </w:rPr>
      </w:pPr>
      <w:r>
        <w:rPr>
          <w:rFonts w:hint="eastAsia" w:hAnsi="宋体"/>
          <w:sz w:val="24"/>
        </w:rPr>
        <w:t>授权代理人签字：</w:t>
      </w:r>
    </w:p>
    <w:p w14:paraId="2F03A404">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12D418E">
      <w:pPr>
        <w:adjustRightInd w:val="0"/>
        <w:spacing w:line="400" w:lineRule="exact"/>
        <w:ind w:firstLine="480" w:firstLineChars="200"/>
        <w:jc w:val="left"/>
        <w:rPr>
          <w:rFonts w:hAnsi="宋体"/>
          <w:sz w:val="24"/>
        </w:rPr>
      </w:pPr>
      <w:r>
        <w:rPr>
          <w:rFonts w:hint="eastAsia" w:hAnsi="宋体"/>
          <w:sz w:val="24"/>
        </w:rPr>
        <w:t>日期：年月日</w:t>
      </w:r>
    </w:p>
    <w:p w14:paraId="513F5F2B">
      <w:pPr>
        <w:spacing w:line="400" w:lineRule="exact"/>
        <w:rPr>
          <w:rFonts w:hAnsi="宋体"/>
          <w:sz w:val="32"/>
          <w:szCs w:val="32"/>
        </w:rPr>
      </w:pPr>
    </w:p>
    <w:p w14:paraId="6F776F93">
      <w:pPr>
        <w:spacing w:line="400" w:lineRule="exact"/>
        <w:ind w:left="840" w:hanging="840" w:hangingChars="350"/>
        <w:jc w:val="left"/>
        <w:rPr>
          <w:rFonts w:hAnsi="宋体"/>
          <w:sz w:val="24"/>
        </w:rPr>
      </w:pPr>
      <w:r>
        <w:rPr>
          <w:rFonts w:hint="eastAsia" w:hAnsi="宋体"/>
          <w:sz w:val="24"/>
        </w:rPr>
        <w:t>注：</w:t>
      </w:r>
    </w:p>
    <w:p w14:paraId="451185A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F438BD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F06B186">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7D4C34E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37145385"/>
      <w:bookmarkEnd w:id="21"/>
      <w:bookmarkStart w:id="22" w:name="_Toc263768864"/>
      <w:bookmarkEnd w:id="22"/>
      <w:bookmarkStart w:id="23" w:name="_Toc263753600"/>
      <w:bookmarkEnd w:id="23"/>
      <w:bookmarkStart w:id="24" w:name="_Toc256175382"/>
      <w:bookmarkEnd w:id="24"/>
      <w:bookmarkStart w:id="25" w:name="_Toc250041691"/>
      <w:bookmarkEnd w:id="25"/>
    </w:p>
    <w:p w14:paraId="7664474D">
      <w:pPr>
        <w:spacing w:line="360" w:lineRule="auto"/>
        <w:jc w:val="center"/>
      </w:pPr>
      <w:bookmarkStart w:id="26" w:name="_Toc476736023"/>
      <w:r>
        <w:rPr>
          <w:rFonts w:hint="eastAsia" w:ascii="黑体" w:hAnsi="黑体" w:eastAsia="黑体"/>
          <w:b/>
          <w:bCs/>
          <w:sz w:val="28"/>
          <w:szCs w:val="28"/>
        </w:rPr>
        <w:t>格式</w:t>
      </w:r>
      <w:r>
        <w:rPr>
          <w:rFonts w:hint="eastAsia" w:ascii="黑体" w:hAnsi="黑体" w:eastAsia="黑体"/>
          <w:b/>
          <w:bCs/>
          <w:sz w:val="28"/>
          <w:szCs w:val="28"/>
          <w:lang w:eastAsia="zh-CN"/>
        </w:rPr>
        <w:t>五</w:t>
      </w:r>
      <w:r>
        <w:rPr>
          <w:rFonts w:hint="eastAsia" w:ascii="黑体" w:hAnsi="黑体" w:eastAsia="黑体"/>
          <w:b/>
          <w:bCs/>
          <w:sz w:val="28"/>
          <w:szCs w:val="28"/>
        </w:rPr>
        <w:t>、报价一览表</w:t>
      </w:r>
    </w:p>
    <w:p w14:paraId="55452842">
      <w:pPr>
        <w:pStyle w:val="17"/>
      </w:pP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831"/>
        <w:gridCol w:w="1831"/>
        <w:gridCol w:w="1177"/>
        <w:gridCol w:w="1333"/>
        <w:gridCol w:w="2317"/>
      </w:tblGrid>
      <w:tr w14:paraId="6840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62" w:type="dxa"/>
            <w:vAlign w:val="center"/>
          </w:tcPr>
          <w:p w14:paraId="3D592B3B">
            <w:pPr>
              <w:pStyle w:val="17"/>
              <w:keepNext w:val="0"/>
              <w:keepLines w:val="0"/>
              <w:suppressLineNumbers w:val="0"/>
              <w:spacing w:before="0" w:beforeAutospacing="0" w:after="0" w:afterAutospacing="0"/>
              <w:ind w:left="0" w:leftChars="0" w:right="0" w:rightChars="0"/>
              <w:jc w:val="center"/>
              <w:rPr>
                <w:rFonts w:hint="eastAsia" w:ascii="宋体" w:hAnsi="宋体" w:cs="宋体"/>
                <w:sz w:val="24"/>
              </w:rPr>
            </w:pPr>
            <w:r>
              <w:rPr>
                <w:rFonts w:hint="default"/>
              </w:rPr>
              <w:t>序号</w:t>
            </w:r>
          </w:p>
        </w:tc>
        <w:tc>
          <w:tcPr>
            <w:tcW w:w="1831" w:type="dxa"/>
            <w:vAlign w:val="center"/>
          </w:tcPr>
          <w:p w14:paraId="0A8B3122">
            <w:pPr>
              <w:pStyle w:val="17"/>
              <w:keepNext w:val="0"/>
              <w:keepLines w:val="0"/>
              <w:suppressLineNumbers w:val="0"/>
              <w:spacing w:before="0" w:beforeAutospacing="0" w:after="0" w:afterAutospacing="0"/>
              <w:ind w:left="0" w:leftChars="0" w:right="0" w:rightChars="0"/>
              <w:jc w:val="center"/>
              <w:rPr>
                <w:rFonts w:hint="eastAsia" w:ascii="宋体" w:hAnsi="宋体" w:cs="宋体"/>
                <w:sz w:val="24"/>
              </w:rPr>
            </w:pPr>
            <w:r>
              <w:rPr>
                <w:rFonts w:hint="default"/>
              </w:rPr>
              <w:t>报价内容</w:t>
            </w:r>
          </w:p>
        </w:tc>
        <w:tc>
          <w:tcPr>
            <w:tcW w:w="1831" w:type="dxa"/>
            <w:vAlign w:val="center"/>
          </w:tcPr>
          <w:p w14:paraId="4A077165">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单价</w:t>
            </w:r>
            <w:r>
              <w:rPr>
                <w:rFonts w:hint="default" w:ascii="宋体" w:hAnsi="宋体" w:cs="宋体"/>
                <w:sz w:val="24"/>
              </w:rPr>
              <w:t>报价</w:t>
            </w:r>
          </w:p>
          <w:p w14:paraId="7893CA76">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（元/台/年）</w:t>
            </w:r>
          </w:p>
        </w:tc>
        <w:tc>
          <w:tcPr>
            <w:tcW w:w="1177" w:type="dxa"/>
            <w:vAlign w:val="center"/>
          </w:tcPr>
          <w:p w14:paraId="0E18DCBC">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数量</w:t>
            </w:r>
          </w:p>
        </w:tc>
        <w:tc>
          <w:tcPr>
            <w:tcW w:w="1333" w:type="dxa"/>
            <w:vAlign w:val="center"/>
          </w:tcPr>
          <w:p w14:paraId="710F24FF">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期限</w:t>
            </w:r>
          </w:p>
        </w:tc>
        <w:tc>
          <w:tcPr>
            <w:tcW w:w="2317" w:type="dxa"/>
            <w:vAlign w:val="center"/>
          </w:tcPr>
          <w:p w14:paraId="2BCA952C">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总报价</w:t>
            </w:r>
            <w:r>
              <w:rPr>
                <w:rFonts w:hint="default" w:ascii="宋体" w:hAnsi="宋体" w:cs="宋体"/>
                <w:sz w:val="24"/>
              </w:rPr>
              <w:t>（</w:t>
            </w:r>
            <w:r>
              <w:rPr>
                <w:rFonts w:hint="eastAsia" w:ascii="宋体" w:hAnsi="宋体" w:cs="宋体"/>
                <w:sz w:val="24"/>
              </w:rPr>
              <w:t>元</w:t>
            </w:r>
            <w:r>
              <w:rPr>
                <w:rFonts w:hint="default" w:ascii="宋体" w:hAnsi="宋体" w:cs="宋体"/>
                <w:sz w:val="24"/>
              </w:rPr>
              <w:t>）</w:t>
            </w:r>
          </w:p>
        </w:tc>
      </w:tr>
      <w:tr w14:paraId="4CB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62" w:type="dxa"/>
            <w:vAlign w:val="center"/>
          </w:tcPr>
          <w:p w14:paraId="29FB84DD">
            <w:pPr>
              <w:pStyle w:val="17"/>
              <w:keepNext w:val="0"/>
              <w:keepLines w:val="0"/>
              <w:suppressLineNumbers w:val="0"/>
              <w:spacing w:before="0" w:beforeAutospacing="0" w:after="0" w:afterAutospacing="0"/>
              <w:ind w:left="0" w:leftChars="0" w:right="0" w:rightChars="0"/>
              <w:jc w:val="center"/>
              <w:rPr>
                <w:rFonts w:hint="default" w:ascii="宋体" w:hAnsi="宋体" w:cs="宋体"/>
                <w:sz w:val="24"/>
              </w:rPr>
            </w:pPr>
            <w:r>
              <w:rPr>
                <w:rFonts w:hint="default"/>
              </w:rPr>
              <w:t>1</w:t>
            </w:r>
          </w:p>
        </w:tc>
        <w:tc>
          <w:tcPr>
            <w:tcW w:w="1831" w:type="dxa"/>
            <w:vAlign w:val="center"/>
          </w:tcPr>
          <w:p w14:paraId="656BB7D1">
            <w:pPr>
              <w:pStyle w:val="17"/>
              <w:keepNext w:val="0"/>
              <w:keepLines w:val="0"/>
              <w:suppressLineNumbers w:val="0"/>
              <w:spacing w:before="0" w:beforeAutospacing="0" w:after="0" w:afterAutospacing="0"/>
              <w:ind w:left="0" w:leftChars="0" w:right="0" w:rightChars="0"/>
              <w:jc w:val="center"/>
              <w:rPr>
                <w:rFonts w:hint="default" w:ascii="宋体" w:hAnsi="宋体" w:cs="宋体"/>
                <w:sz w:val="24"/>
              </w:rPr>
            </w:pPr>
            <w:r>
              <w:rPr>
                <w:rFonts w:hint="eastAsia"/>
                <w:lang w:val="en-US" w:eastAsia="zh-CN"/>
              </w:rPr>
              <w:t>电梯维保服务</w:t>
            </w:r>
          </w:p>
        </w:tc>
        <w:tc>
          <w:tcPr>
            <w:tcW w:w="1831" w:type="dxa"/>
            <w:vAlign w:val="center"/>
          </w:tcPr>
          <w:p w14:paraId="1580BF11">
            <w:pPr>
              <w:keepNext w:val="0"/>
              <w:keepLines w:val="0"/>
              <w:suppressLineNumbers w:val="0"/>
              <w:spacing w:before="0" w:beforeAutospacing="0" w:after="0" w:afterAutospacing="0" w:line="400" w:lineRule="exact"/>
              <w:ind w:left="0" w:right="0"/>
              <w:jc w:val="center"/>
              <w:rPr>
                <w:rFonts w:hint="default" w:ascii="宋体" w:hAnsi="宋体" w:cs="宋体"/>
                <w:sz w:val="24"/>
              </w:rPr>
            </w:pPr>
          </w:p>
        </w:tc>
        <w:tc>
          <w:tcPr>
            <w:tcW w:w="1177" w:type="dxa"/>
            <w:vAlign w:val="center"/>
          </w:tcPr>
          <w:p w14:paraId="73C2FB21">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26台</w:t>
            </w:r>
          </w:p>
        </w:tc>
        <w:tc>
          <w:tcPr>
            <w:tcW w:w="1333" w:type="dxa"/>
            <w:vAlign w:val="center"/>
          </w:tcPr>
          <w:p w14:paraId="25760D1D">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2年</w:t>
            </w:r>
          </w:p>
        </w:tc>
        <w:tc>
          <w:tcPr>
            <w:tcW w:w="2317" w:type="dxa"/>
            <w:vAlign w:val="center"/>
          </w:tcPr>
          <w:p w14:paraId="2ACEA4EE">
            <w:pPr>
              <w:keepNext w:val="0"/>
              <w:keepLines w:val="0"/>
              <w:suppressLineNumbers w:val="0"/>
              <w:spacing w:before="0" w:beforeAutospacing="0" w:after="0" w:afterAutospacing="0" w:line="400" w:lineRule="exact"/>
              <w:ind w:left="0" w:right="0"/>
              <w:jc w:val="center"/>
              <w:rPr>
                <w:rFonts w:hint="default" w:ascii="宋体" w:hAnsi="宋体" w:cs="宋体"/>
                <w:sz w:val="24"/>
              </w:rPr>
            </w:pPr>
          </w:p>
        </w:tc>
      </w:tr>
    </w:tbl>
    <w:p w14:paraId="2910C002">
      <w:pPr>
        <w:pStyle w:val="41"/>
        <w:ind w:left="0" w:leftChars="0" w:firstLine="0" w:firstLineChars="0"/>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sz w:val="24"/>
          <w:szCs w:val="24"/>
          <w:lang w:val="en-US"/>
        </w:rPr>
      </w:pPr>
      <w:r>
        <w:rPr>
          <w:rFonts w:hint="eastAsia" w:ascii="Calibri" w:hAnsi="Calibri" w:eastAsia="宋体" w:cs="宋体"/>
          <w:bCs/>
          <w:kern w:val="2"/>
          <w:sz w:val="24"/>
          <w:szCs w:val="24"/>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hint="eastAsia" w:ascii="Calibri" w:hAnsi="Calibri" w:eastAsia="宋体" w:cs="宋体"/>
          <w:b/>
          <w:bCs w:val="0"/>
          <w:kern w:val="2"/>
          <w:sz w:val="24"/>
          <w:szCs w:val="24"/>
          <w:u w:val="single"/>
          <w:lang w:val="en-US" w:eastAsia="zh-CN" w:bidi="ar"/>
        </w:rPr>
      </w:pPr>
      <w:r>
        <w:rPr>
          <w:rFonts w:hint="eastAsia" w:cs="宋体"/>
          <w:b/>
          <w:bCs w:val="0"/>
          <w:kern w:val="2"/>
          <w:sz w:val="24"/>
          <w:szCs w:val="24"/>
          <w:u w:val="single"/>
          <w:lang w:val="en-US" w:eastAsia="zh-CN" w:bidi="ar"/>
        </w:rPr>
        <w:t>1</w:t>
      </w:r>
      <w:r>
        <w:rPr>
          <w:rFonts w:hint="default" w:ascii="Calibri" w:hAnsi="Calibri" w:eastAsia="宋体" w:cs="宋体"/>
          <w:b/>
          <w:bCs w:val="0"/>
          <w:kern w:val="2"/>
          <w:sz w:val="24"/>
          <w:szCs w:val="24"/>
          <w:u w:val="single"/>
          <w:lang w:val="en-US" w:eastAsia="zh-CN" w:bidi="ar"/>
        </w:rPr>
        <w:t>.</w:t>
      </w:r>
      <w:r>
        <w:rPr>
          <w:rFonts w:hint="eastAsia" w:ascii="Calibri" w:hAnsi="Calibri" w:eastAsia="宋体" w:cs="宋体"/>
          <w:b/>
          <w:bCs w:val="0"/>
          <w:kern w:val="2"/>
          <w:sz w:val="24"/>
          <w:szCs w:val="24"/>
          <w:u w:val="single"/>
          <w:lang w:val="en-US" w:eastAsia="zh-CN" w:bidi="ar"/>
        </w:rPr>
        <w:t>所有报价均用人民币表示，包含完成本项工作的员工工资、养老保险、医疗保险、工伤保险、工亡赔偿、生育保险、失业保险、意外伤害保险、公积金、辞退补偿、福利费、节假日加班费、200元及以下免费配件费、增值税税费和其他税费、利润、政策性文件规定及合同包含的所有风险、责任等各项应有费用。(年检费、保险费用、上级部门临时增加的大型检测费除外)。</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sz w:val="24"/>
          <w:szCs w:val="24"/>
          <w:u w:val="single"/>
          <w:lang w:val="en-US"/>
        </w:rPr>
      </w:pPr>
      <w:r>
        <w:rPr>
          <w:rFonts w:hint="default" w:ascii="Calibri" w:hAnsi="Calibri" w:eastAsia="宋体" w:cs="宋体"/>
          <w:b/>
          <w:bCs w:val="0"/>
          <w:kern w:val="2"/>
          <w:sz w:val="24"/>
          <w:szCs w:val="24"/>
          <w:u w:val="single"/>
          <w:lang w:val="en-US" w:eastAsia="zh-CN" w:bidi="ar"/>
        </w:rPr>
        <w:t>2.</w:t>
      </w:r>
      <w:r>
        <w:rPr>
          <w:rFonts w:hint="eastAsia" w:ascii="Calibri" w:hAnsi="Calibri" w:eastAsia="宋体" w:cs="宋体"/>
          <w:b/>
          <w:bCs w:val="0"/>
          <w:kern w:val="2"/>
          <w:sz w:val="24"/>
          <w:szCs w:val="24"/>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sz w:val="24"/>
          <w:szCs w:val="22"/>
          <w:lang w:val="en-US"/>
        </w:rPr>
      </w:pPr>
      <w:r>
        <w:rPr>
          <w:rFonts w:hint="eastAsia" w:ascii="Calibri" w:hAnsi="Calibri" w:eastAsia="宋体" w:cs="宋体"/>
          <w:kern w:val="2"/>
          <w:sz w:val="24"/>
          <w:szCs w:val="22"/>
          <w:lang w:val="en-US" w:eastAsia="zh-CN" w:bidi="ar"/>
        </w:rPr>
        <w:t>供应商名称：</w:t>
      </w:r>
      <w:r>
        <w:rPr>
          <w:rFonts w:hint="default" w:ascii="Calibri" w:hAnsi="Calibri" w:eastAsia="宋体" w:cs="宋体"/>
          <w:kern w:val="2"/>
          <w:sz w:val="24"/>
          <w:szCs w:val="22"/>
          <w:u w:val="single"/>
          <w:lang w:val="en-US" w:eastAsia="zh-CN" w:bidi="ar"/>
        </w:rPr>
        <w:t xml:space="preserve">                        </w:t>
      </w:r>
      <w:r>
        <w:rPr>
          <w:rFonts w:hint="eastAsia" w:ascii="Calibri" w:hAnsi="Calibri" w:eastAsia="宋体" w:cs="宋体"/>
          <w:kern w:val="2"/>
          <w:sz w:val="24"/>
          <w:szCs w:val="22"/>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sz w:val="24"/>
          <w:szCs w:val="22"/>
          <w:u w:val="single"/>
          <w:lang w:val="en-US"/>
        </w:rPr>
      </w:pPr>
      <w:r>
        <w:rPr>
          <w:rFonts w:hint="eastAsia" w:ascii="Calibri" w:hAnsi="Calibri" w:eastAsia="宋体" w:cs="宋体"/>
          <w:bCs/>
          <w:kern w:val="2"/>
          <w:sz w:val="24"/>
          <w:szCs w:val="22"/>
          <w:lang w:val="en-US" w:eastAsia="zh-CN" w:bidi="ar"/>
        </w:rPr>
        <w:t>法定代表人或授权代表（签字或盖章）：</w:t>
      </w:r>
      <w:r>
        <w:rPr>
          <w:rFonts w:hint="default" w:ascii="Calibri" w:hAnsi="Calibri" w:eastAsia="宋体" w:cs="宋体"/>
          <w:bCs/>
          <w:kern w:val="2"/>
          <w:sz w:val="24"/>
          <w:szCs w:val="22"/>
          <w:u w:val="single"/>
          <w:lang w:val="en-US" w:eastAsia="zh-CN" w:bidi="ar"/>
        </w:rPr>
        <w:t xml:space="preserve">              </w:t>
      </w:r>
    </w:p>
    <w:p w14:paraId="43AD6A7A">
      <w:pPr>
        <w:keepNext w:val="0"/>
        <w:keepLines w:val="0"/>
        <w:widowControl/>
        <w:suppressLineNumbers w:val="0"/>
        <w:ind w:firstLine="498" w:firstLineChars="200"/>
        <w:jc w:val="left"/>
      </w:pPr>
      <w:r>
        <w:rPr>
          <w:rFonts w:hint="eastAsia" w:ascii="Calibri" w:hAnsi="Calibri" w:eastAsia="宋体" w:cs="宋体"/>
          <w:bCs/>
          <w:kern w:val="2"/>
          <w:sz w:val="24"/>
          <w:szCs w:val="22"/>
          <w:lang w:val="en-US" w:eastAsia="zh-CN" w:bidi="ar"/>
        </w:rPr>
        <w:t>日</w:t>
      </w:r>
      <w:r>
        <w:rPr>
          <w:rFonts w:hint="default" w:ascii="Calibri" w:hAnsi="Calibri" w:eastAsia="宋体" w:cs="宋体"/>
          <w:bCs/>
          <w:kern w:val="2"/>
          <w:sz w:val="24"/>
          <w:szCs w:val="22"/>
          <w:lang w:val="en-US" w:eastAsia="zh-CN" w:bidi="ar"/>
        </w:rPr>
        <w:t xml:space="preserve">  </w:t>
      </w:r>
      <w:r>
        <w:rPr>
          <w:rFonts w:hint="eastAsia" w:ascii="Calibri" w:hAnsi="Calibri" w:eastAsia="宋体" w:cs="宋体"/>
          <w:bCs/>
          <w:kern w:val="2"/>
          <w:sz w:val="24"/>
          <w:szCs w:val="22"/>
          <w:lang w:val="en-US" w:eastAsia="zh-CN" w:bidi="ar"/>
        </w:rPr>
        <w:t>期：</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年</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月</w:t>
      </w:r>
      <w:r>
        <w:rPr>
          <w:rFonts w:hint="default" w:ascii="Calibri" w:hAnsi="Calibri" w:eastAsia="宋体" w:cs="宋体"/>
          <w:bCs/>
          <w:kern w:val="2"/>
          <w:sz w:val="24"/>
          <w:szCs w:val="22"/>
          <w:u w:val="single"/>
          <w:lang w:val="en-US" w:eastAsia="zh-CN" w:bidi="ar"/>
        </w:rPr>
        <w:t xml:space="preserve">      </w:t>
      </w:r>
      <w:r>
        <w:rPr>
          <w:rFonts w:hint="eastAsia" w:ascii="Calibri" w:hAnsi="Calibri" w:eastAsia="宋体" w:cs="宋体"/>
          <w:bCs/>
          <w:kern w:val="2"/>
          <w:sz w:val="24"/>
          <w:szCs w:val="22"/>
          <w:lang w:val="en-US" w:eastAsia="zh-CN" w:bidi="ar"/>
        </w:rPr>
        <w:t>日</w:t>
      </w:r>
    </w:p>
    <w:p w14:paraId="60128147">
      <w:pPr>
        <w:pStyle w:val="12"/>
      </w:pPr>
    </w:p>
    <w:p w14:paraId="658AA47F">
      <w:pPr>
        <w:rPr>
          <w:rFonts w:ascii="宋体" w:hAnsi="宋体"/>
          <w:sz w:val="28"/>
          <w:szCs w:val="28"/>
        </w:rPr>
      </w:pPr>
      <w:r>
        <w:rPr>
          <w:rFonts w:hint="eastAsia" w:ascii="宋体" w:hAnsi="宋体"/>
          <w:sz w:val="28"/>
          <w:szCs w:val="28"/>
        </w:rPr>
        <w:br w:type="page"/>
      </w:r>
    </w:p>
    <w:bookmarkEnd w:id="26"/>
    <w:p w14:paraId="03A231D4">
      <w:pPr>
        <w:spacing w:line="360" w:lineRule="auto"/>
        <w:jc w:val="center"/>
        <w:rPr>
          <w:rFonts w:ascii="黑体" w:hAnsi="黑体" w:eastAsia="黑体"/>
          <w:b/>
          <w:bCs/>
          <w:sz w:val="28"/>
          <w:szCs w:val="28"/>
        </w:rPr>
      </w:pPr>
      <w:bookmarkStart w:id="27" w:name="_Toc476736025"/>
      <w:bookmarkStart w:id="28" w:name="_Toc325028474"/>
      <w:bookmarkStart w:id="29" w:name="_Toc453578491"/>
      <w:r>
        <w:rPr>
          <w:rFonts w:hint="eastAsia" w:ascii="黑体" w:hAnsi="黑体" w:eastAsia="黑体"/>
          <w:b/>
          <w:bCs/>
          <w:sz w:val="28"/>
          <w:szCs w:val="28"/>
        </w:rPr>
        <w:t>格式六、</w:t>
      </w:r>
      <w:bookmarkEnd w:id="27"/>
      <w:bookmarkEnd w:id="28"/>
      <w:bookmarkEnd w:id="29"/>
      <w:bookmarkStart w:id="30" w:name="_Toc24591"/>
      <w:bookmarkStart w:id="31" w:name="_Toc19468"/>
      <w:r>
        <w:rPr>
          <w:rFonts w:hint="eastAsia" w:ascii="黑体" w:hAnsi="黑体" w:eastAsia="黑体"/>
          <w:b/>
          <w:bCs/>
          <w:sz w:val="28"/>
          <w:szCs w:val="28"/>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sz w:val="24"/>
              </w:rPr>
            </w:pPr>
            <w:r>
              <w:rPr>
                <w:rFonts w:hint="eastAsia" w:ascii="宋体" w:hAnsi="宋体"/>
                <w:sz w:val="24"/>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sz w:val="24"/>
              </w:rPr>
            </w:pPr>
            <w:r>
              <w:rPr>
                <w:rFonts w:hint="eastAsia" w:ascii="宋体" w:hAnsi="宋体"/>
                <w:sz w:val="24"/>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sz w:val="24"/>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sz w:val="24"/>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sz w:val="24"/>
              </w:rPr>
            </w:pPr>
          </w:p>
        </w:tc>
      </w:tr>
    </w:tbl>
    <w:p w14:paraId="2D0378EF">
      <w:pPr>
        <w:adjustRightInd w:val="0"/>
        <w:spacing w:line="440" w:lineRule="exact"/>
        <w:textAlignment w:val="baseline"/>
        <w:rPr>
          <w:rFonts w:ascii="宋体" w:hAnsi="宋体"/>
          <w:szCs w:val="21"/>
        </w:rPr>
      </w:pPr>
    </w:p>
    <w:p w14:paraId="136664D4">
      <w:pPr>
        <w:adjustRightInd w:val="0"/>
        <w:spacing w:line="400" w:lineRule="exact"/>
        <w:ind w:firstLine="498" w:firstLineChars="200"/>
        <w:jc w:val="left"/>
        <w:rPr>
          <w:rFonts w:hAnsi="宋体"/>
          <w:sz w:val="24"/>
        </w:rPr>
      </w:pPr>
      <w:r>
        <w:rPr>
          <w:rFonts w:hint="eastAsia" w:hAnsi="宋体"/>
          <w:sz w:val="24"/>
        </w:rPr>
        <w:t>采购申请人：（盖单位章）</w:t>
      </w:r>
    </w:p>
    <w:p w14:paraId="5997927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E70995A">
      <w:pPr>
        <w:adjustRightInd w:val="0"/>
        <w:spacing w:line="400" w:lineRule="exact"/>
        <w:ind w:firstLine="498" w:firstLineChars="200"/>
        <w:jc w:val="left"/>
        <w:rPr>
          <w:rFonts w:hAnsi="宋体"/>
          <w:sz w:val="24"/>
        </w:rPr>
      </w:pPr>
      <w:r>
        <w:rPr>
          <w:rFonts w:hint="eastAsia" w:hAnsi="宋体"/>
          <w:sz w:val="24"/>
        </w:rPr>
        <w:t>日期：年月日</w:t>
      </w:r>
    </w:p>
    <w:p w14:paraId="6EFDA3CF">
      <w:pPr>
        <w:adjustRightInd w:val="0"/>
        <w:spacing w:line="440" w:lineRule="exact"/>
        <w:textAlignment w:val="baseline"/>
        <w:rPr>
          <w:rFonts w:ascii="宋体" w:hAnsi="宋体"/>
          <w:szCs w:val="21"/>
        </w:rPr>
      </w:pPr>
    </w:p>
    <w:p w14:paraId="2238ED81">
      <w:pPr>
        <w:adjustRightInd w:val="0"/>
        <w:spacing w:line="440" w:lineRule="exact"/>
        <w:textAlignment w:val="baseline"/>
        <w:rPr>
          <w:rFonts w:ascii="宋体" w:hAnsi="宋体"/>
          <w:szCs w:val="21"/>
        </w:rPr>
      </w:pPr>
    </w:p>
    <w:p w14:paraId="1A836E12">
      <w:pPr>
        <w:adjustRightInd w:val="0"/>
        <w:spacing w:line="440" w:lineRule="exact"/>
        <w:textAlignment w:val="baseline"/>
        <w:rPr>
          <w:rFonts w:ascii="宋体" w:hAnsi="宋体"/>
          <w:szCs w:val="21"/>
        </w:rPr>
      </w:pPr>
    </w:p>
    <w:p w14:paraId="4328DD3C">
      <w:pPr>
        <w:spacing w:line="360" w:lineRule="auto"/>
        <w:jc w:val="center"/>
        <w:rPr>
          <w:rFonts w:ascii="黑体" w:hAnsi="黑体" w:eastAsia="黑体"/>
          <w:b/>
          <w:bCs/>
          <w:sz w:val="28"/>
          <w:szCs w:val="28"/>
        </w:rPr>
      </w:pPr>
      <w:r>
        <w:rPr>
          <w:rFonts w:ascii="宋体" w:hAnsi="宋体"/>
          <w:sz w:val="24"/>
        </w:rPr>
        <w:br w:type="page"/>
      </w:r>
      <w:bookmarkStart w:id="32" w:name="_Toc476736024"/>
      <w:bookmarkStart w:id="33" w:name="_Toc217446087"/>
      <w:bookmarkStart w:id="34" w:name="_Toc325028475"/>
      <w:bookmarkStart w:id="35" w:name="_Toc453578492"/>
      <w:bookmarkStart w:id="36" w:name="_Toc476736028"/>
      <w:r>
        <w:rPr>
          <w:rFonts w:hint="eastAsia" w:ascii="黑体" w:hAnsi="黑体" w:eastAsia="黑体"/>
          <w:b/>
          <w:bCs/>
          <w:sz w:val="28"/>
          <w:szCs w:val="28"/>
        </w:rPr>
        <w:t>格式七、</w:t>
      </w:r>
      <w:bookmarkStart w:id="37" w:name="_Toc14057"/>
      <w:r>
        <w:rPr>
          <w:rFonts w:hint="eastAsia" w:ascii="黑体" w:hAnsi="黑体" w:eastAsia="黑体"/>
          <w:b/>
          <w:bCs/>
          <w:sz w:val="28"/>
          <w:szCs w:val="28"/>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kern w:val="0"/>
                <w:sz w:val="24"/>
              </w:rPr>
            </w:pPr>
            <w:r>
              <w:rPr>
                <w:rFonts w:hint="eastAsia" w:hAnsi="宋体"/>
                <w:kern w:val="0"/>
                <w:sz w:val="24"/>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采购文件</w:t>
            </w:r>
          </w:p>
          <w:p w14:paraId="624C58A1">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kern w:val="0"/>
                <w:sz w:val="24"/>
              </w:rPr>
            </w:pPr>
            <w:r>
              <w:rPr>
                <w:rFonts w:hint="eastAsia" w:hAnsi="宋体"/>
                <w:kern w:val="0"/>
                <w:sz w:val="24"/>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sz w:val="32"/>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sz w:val="32"/>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sz w:val="32"/>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sz w:val="32"/>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sz w:val="32"/>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sz w:val="32"/>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sz w:val="32"/>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sz w:val="32"/>
              </w:rPr>
            </w:pPr>
          </w:p>
        </w:tc>
      </w:tr>
    </w:tbl>
    <w:p w14:paraId="54E493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083A27D">
      <w:pPr>
        <w:spacing w:line="400" w:lineRule="exact"/>
        <w:ind w:firstLine="747" w:firstLineChars="300"/>
        <w:rPr>
          <w:rFonts w:hAnsi="宋体"/>
          <w:sz w:val="24"/>
        </w:rPr>
      </w:pPr>
      <w:r>
        <w:rPr>
          <w:rFonts w:hint="eastAsia" w:hAnsi="宋体"/>
          <w:sz w:val="24"/>
        </w:rPr>
        <w:t>2、按照招标项目技术要求的顺序逐条对应填写。</w:t>
      </w:r>
    </w:p>
    <w:p w14:paraId="68D56C7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229D241">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3C7DF50F">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59B5724">
      <w:pPr>
        <w:spacing w:line="580" w:lineRule="exact"/>
        <w:jc w:val="left"/>
        <w:rPr>
          <w:rFonts w:ascii="宋体" w:hAnsi="宋体" w:cs="Arial"/>
          <w:sz w:val="24"/>
        </w:rPr>
      </w:pPr>
      <w:r>
        <w:rPr>
          <w:rFonts w:hint="eastAsia" w:ascii="宋体" w:hAnsi="宋体" w:cs="Arial"/>
          <w:sz w:val="24"/>
        </w:rPr>
        <w:t>日期：年月日</w:t>
      </w:r>
    </w:p>
    <w:p w14:paraId="21BC935E">
      <w:pPr>
        <w:pStyle w:val="12"/>
      </w:pPr>
    </w:p>
    <w:p w14:paraId="1321A526">
      <w:pPr>
        <w:pStyle w:val="12"/>
      </w:pPr>
    </w:p>
    <w:p w14:paraId="3092BD82">
      <w:pPr>
        <w:pStyle w:val="12"/>
      </w:pPr>
    </w:p>
    <w:p w14:paraId="4D33A8FF">
      <w:pPr>
        <w:widowControl/>
        <w:jc w:val="left"/>
        <w:rPr>
          <w:rFonts w:ascii="宋体" w:hAnsi="宋体"/>
          <w:b/>
          <w:bCs/>
          <w:sz w:val="28"/>
          <w:szCs w:val="28"/>
        </w:rPr>
      </w:pPr>
      <w:r>
        <w:rPr>
          <w:rFonts w:ascii="宋体" w:hAnsi="宋体"/>
          <w:sz w:val="28"/>
          <w:szCs w:val="28"/>
        </w:rPr>
        <w:br w:type="page"/>
      </w:r>
    </w:p>
    <w:p w14:paraId="331975D8">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32"/>
    </w:p>
    <w:p w14:paraId="282724D4">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eastAsia" w:ascii="宋体" w:hAnsi="宋体" w:cs="Arial"/>
                <w:b/>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sz w:val="24"/>
              </w:rPr>
            </w:pPr>
            <w:r>
              <w:rPr>
                <w:rFonts w:hint="default" w:ascii="宋体" w:hAnsi="宋体" w:cs="Arial"/>
                <w:b/>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sz w:val="24"/>
              </w:rPr>
            </w:pPr>
            <w:r>
              <w:rPr>
                <w:rFonts w:hint="default" w:ascii="宋体" w:hAnsi="宋体" w:cs="Arial"/>
                <w:b/>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sz w:val="24"/>
              </w:rPr>
            </w:pPr>
            <w:r>
              <w:rPr>
                <w:rFonts w:hint="eastAsia" w:ascii="宋体" w:hAnsi="宋体" w:cs="Arial"/>
                <w:b/>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sz w:val="24"/>
              </w:rPr>
            </w:pPr>
          </w:p>
        </w:tc>
      </w:tr>
    </w:tbl>
    <w:p w14:paraId="3DB4612A">
      <w:pPr>
        <w:spacing w:line="400" w:lineRule="exact"/>
        <w:ind w:firstLine="249" w:firstLineChars="100"/>
        <w:rPr>
          <w:rFonts w:hAnsi="宋体"/>
          <w:sz w:val="24"/>
        </w:rPr>
      </w:pPr>
      <w:r>
        <w:rPr>
          <w:rFonts w:hint="eastAsia" w:hAnsi="宋体"/>
          <w:sz w:val="24"/>
        </w:rPr>
        <w:t>注：以上业绩需按照采购文件要求提供有关书面证明材料。</w:t>
      </w:r>
    </w:p>
    <w:p w14:paraId="60F44EB1">
      <w:pPr>
        <w:spacing w:line="240" w:lineRule="exact"/>
        <w:jc w:val="center"/>
        <w:rPr>
          <w:rFonts w:ascii="宋体" w:hAnsi="宋体"/>
          <w:b/>
          <w:bCs/>
          <w:sz w:val="30"/>
        </w:rPr>
      </w:pPr>
    </w:p>
    <w:p w14:paraId="32740423">
      <w:pPr>
        <w:adjustRightInd w:val="0"/>
        <w:spacing w:line="400" w:lineRule="exact"/>
        <w:ind w:firstLine="498" w:firstLineChars="200"/>
        <w:jc w:val="left"/>
        <w:rPr>
          <w:rFonts w:hAnsi="宋体"/>
          <w:sz w:val="24"/>
        </w:rPr>
      </w:pPr>
      <w:r>
        <w:rPr>
          <w:rFonts w:hint="eastAsia" w:hAnsi="宋体"/>
          <w:sz w:val="24"/>
        </w:rPr>
        <w:t>采购申请人：（盖单位章）</w:t>
      </w:r>
    </w:p>
    <w:p w14:paraId="46B02CB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4D63A09">
      <w:pPr>
        <w:adjustRightInd w:val="0"/>
        <w:spacing w:line="400" w:lineRule="exact"/>
        <w:ind w:firstLine="498" w:firstLineChars="200"/>
        <w:jc w:val="left"/>
        <w:rPr>
          <w:rFonts w:hAnsi="宋体"/>
          <w:sz w:val="24"/>
        </w:rPr>
      </w:pPr>
      <w:r>
        <w:rPr>
          <w:rFonts w:hint="eastAsia" w:hAnsi="宋体"/>
          <w:sz w:val="24"/>
        </w:rPr>
        <w:t>日期：年月日</w:t>
      </w:r>
    </w:p>
    <w:p w14:paraId="01C01C1E">
      <w:pPr>
        <w:pStyle w:val="134"/>
        <w:spacing w:line="500" w:lineRule="exact"/>
        <w:jc w:val="both"/>
        <w:rPr>
          <w:rFonts w:hAnsi="宋体"/>
          <w:b w:val="0"/>
          <w:kern w:val="2"/>
          <w:sz w:val="21"/>
          <w:szCs w:val="21"/>
        </w:rPr>
      </w:pPr>
    </w:p>
    <w:bookmarkEnd w:id="33"/>
    <w:p w14:paraId="16D5B571">
      <w:pPr>
        <w:pStyle w:val="134"/>
        <w:spacing w:line="500" w:lineRule="exact"/>
        <w:jc w:val="both"/>
        <w:rPr>
          <w:rFonts w:hAnsi="宋体"/>
          <w:b w:val="0"/>
          <w:kern w:val="2"/>
          <w:sz w:val="21"/>
          <w:szCs w:val="21"/>
        </w:rPr>
      </w:pPr>
    </w:p>
    <w:p w14:paraId="41EBB811">
      <w:pPr>
        <w:pStyle w:val="134"/>
        <w:spacing w:line="500" w:lineRule="exact"/>
        <w:jc w:val="both"/>
        <w:rPr>
          <w:rFonts w:hAnsi="宋体"/>
          <w:b w:val="0"/>
          <w:kern w:val="2"/>
          <w:sz w:val="21"/>
          <w:szCs w:val="21"/>
        </w:rPr>
      </w:pPr>
    </w:p>
    <w:p w14:paraId="05CB805A">
      <w:pPr>
        <w:widowControl/>
        <w:jc w:val="left"/>
        <w:rPr>
          <w:rFonts w:ascii="黑体" w:hAnsi="黑体" w:eastAsia="黑体"/>
          <w:b/>
          <w:bCs/>
          <w:sz w:val="28"/>
          <w:szCs w:val="28"/>
        </w:rPr>
      </w:pPr>
      <w:r>
        <w:rPr>
          <w:rFonts w:ascii="黑体" w:hAnsi="黑体" w:eastAsia="黑体"/>
          <w:b/>
          <w:bCs/>
          <w:sz w:val="28"/>
          <w:szCs w:val="28"/>
        </w:rPr>
        <w:br w:type="page"/>
      </w:r>
    </w:p>
    <w:p w14:paraId="31230277">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A8F7156">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sz w:val="24"/>
              </w:rPr>
            </w:pPr>
            <w:r>
              <w:rPr>
                <w:rFonts w:hint="eastAsia" w:ascii="宋体"/>
                <w:sz w:val="24"/>
              </w:rPr>
              <w:t>详见</w:t>
            </w:r>
            <w:r>
              <w:rPr>
                <w:rFonts w:hint="default" w:ascii="宋体"/>
                <w:sz w:val="24"/>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sz w:val="24"/>
              </w:rPr>
            </w:pPr>
          </w:p>
        </w:tc>
      </w:tr>
    </w:tbl>
    <w:p w14:paraId="22047710">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12D7EA0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F07D450">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5DC0CB7E">
      <w:pPr>
        <w:adjustRightInd w:val="0"/>
        <w:spacing w:line="400" w:lineRule="exact"/>
        <w:ind w:firstLine="498" w:firstLineChars="200"/>
        <w:jc w:val="left"/>
        <w:rPr>
          <w:rFonts w:hAnsi="宋体"/>
          <w:sz w:val="24"/>
        </w:rPr>
      </w:pPr>
    </w:p>
    <w:p w14:paraId="0C5865F8">
      <w:pPr>
        <w:adjustRightInd w:val="0"/>
        <w:spacing w:line="400" w:lineRule="exact"/>
        <w:ind w:firstLine="498" w:firstLineChars="200"/>
        <w:jc w:val="left"/>
        <w:rPr>
          <w:rFonts w:hAnsi="宋体"/>
          <w:sz w:val="24"/>
        </w:rPr>
      </w:pPr>
      <w:r>
        <w:rPr>
          <w:rFonts w:hint="eastAsia" w:hAnsi="宋体"/>
          <w:sz w:val="24"/>
        </w:rPr>
        <w:t>采购申请人：（盖单位章）</w:t>
      </w:r>
    </w:p>
    <w:p w14:paraId="132F408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79C4FE2">
      <w:pPr>
        <w:adjustRightInd w:val="0"/>
        <w:spacing w:line="400" w:lineRule="exact"/>
        <w:ind w:firstLine="498" w:firstLineChars="200"/>
        <w:jc w:val="left"/>
        <w:rPr>
          <w:rFonts w:hAnsi="宋体"/>
          <w:sz w:val="24"/>
        </w:rPr>
      </w:pPr>
      <w:r>
        <w:rPr>
          <w:rFonts w:hint="eastAsia" w:hAnsi="宋体"/>
          <w:sz w:val="24"/>
        </w:rPr>
        <w:t>日期：年月日</w:t>
      </w:r>
    </w:p>
    <w:p w14:paraId="6BC4B3BB">
      <w:pPr>
        <w:widowControl/>
        <w:spacing w:line="360" w:lineRule="atLeast"/>
        <w:ind w:firstLine="487" w:firstLineChars="196"/>
        <w:jc w:val="left"/>
        <w:rPr>
          <w:rFonts w:ascii="宋体"/>
          <w:sz w:val="24"/>
        </w:rPr>
      </w:pPr>
    </w:p>
    <w:p w14:paraId="37666C69">
      <w:pPr>
        <w:widowControl/>
        <w:spacing w:line="360" w:lineRule="atLeast"/>
        <w:ind w:firstLine="487" w:firstLineChars="196"/>
        <w:jc w:val="left"/>
        <w:rPr>
          <w:rFonts w:ascii="宋体"/>
          <w:sz w:val="24"/>
        </w:rPr>
      </w:pPr>
    </w:p>
    <w:p w14:paraId="26157CF3">
      <w:pPr>
        <w:widowControl/>
        <w:spacing w:line="360" w:lineRule="atLeast"/>
        <w:ind w:firstLine="487" w:firstLineChars="196"/>
        <w:jc w:val="left"/>
        <w:rPr>
          <w:rFonts w:ascii="宋体"/>
          <w:sz w:val="24"/>
        </w:rPr>
      </w:pPr>
    </w:p>
    <w:p w14:paraId="4887A142">
      <w:pPr>
        <w:spacing w:line="360" w:lineRule="auto"/>
        <w:jc w:val="center"/>
        <w:rPr>
          <w:rFonts w:ascii="黑体" w:hAnsi="黑体" w:eastAsia="黑体"/>
          <w:b/>
          <w:bCs/>
          <w:sz w:val="28"/>
          <w:szCs w:val="28"/>
        </w:rPr>
      </w:pPr>
      <w:r>
        <w:rPr>
          <w:rFonts w:hint="eastAsia" w:ascii="宋体" w:hAnsi="宋体"/>
          <w:sz w:val="28"/>
          <w:szCs w:val="28"/>
        </w:rPr>
        <w:br w:type="page"/>
      </w:r>
      <w:bookmarkEnd w:id="34"/>
      <w:bookmarkEnd w:id="35"/>
      <w:bookmarkEnd w:id="36"/>
      <w:bookmarkStart w:id="38" w:name="_Toc453578493"/>
      <w:bookmarkStart w:id="39" w:name="_Toc476736029"/>
      <w:bookmarkStart w:id="40" w:name="_Toc325028476"/>
      <w:r>
        <w:rPr>
          <w:rFonts w:hint="eastAsia" w:ascii="黑体" w:hAnsi="黑体" w:eastAsia="黑体"/>
          <w:b/>
          <w:bCs/>
          <w:sz w:val="28"/>
          <w:szCs w:val="28"/>
        </w:rPr>
        <w:t>格式十、</w:t>
      </w:r>
      <w:bookmarkEnd w:id="38"/>
      <w:bookmarkEnd w:id="39"/>
      <w:bookmarkEnd w:id="40"/>
      <w:r>
        <w:rPr>
          <w:rFonts w:hint="eastAsia" w:ascii="黑体" w:hAnsi="黑体" w:eastAsia="黑体"/>
          <w:b/>
          <w:bCs/>
          <w:sz w:val="28"/>
          <w:szCs w:val="28"/>
        </w:rPr>
        <w:t>采购申请人符合资格要求的相关资格证明材料</w:t>
      </w:r>
    </w:p>
    <w:p w14:paraId="213B700F">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F21C05E">
      <w:pPr>
        <w:spacing w:line="360" w:lineRule="auto"/>
        <w:ind w:firstLine="560" w:firstLineChars="225"/>
        <w:rPr>
          <w:rFonts w:ascii="宋体" w:cs="Arial"/>
          <w:kern w:val="0"/>
          <w:sz w:val="24"/>
        </w:rPr>
      </w:pPr>
    </w:p>
    <w:p w14:paraId="6F425A5D">
      <w:pPr>
        <w:spacing w:line="360" w:lineRule="auto"/>
        <w:ind w:firstLine="560" w:firstLineChars="225"/>
        <w:rPr>
          <w:rFonts w:ascii="宋体" w:cs="Arial"/>
          <w:kern w:val="0"/>
          <w:sz w:val="24"/>
        </w:rPr>
      </w:pPr>
    </w:p>
    <w:p w14:paraId="3F179CD0">
      <w:pPr>
        <w:widowControl/>
        <w:jc w:val="left"/>
        <w:rPr>
          <w:rFonts w:ascii="黑体" w:hAnsi="黑体" w:eastAsia="黑体"/>
          <w:b/>
          <w:bCs/>
          <w:sz w:val="28"/>
          <w:szCs w:val="28"/>
        </w:rPr>
      </w:pPr>
      <w:r>
        <w:rPr>
          <w:rFonts w:ascii="黑体" w:hAnsi="黑体" w:eastAsia="黑体"/>
          <w:b/>
          <w:bCs/>
          <w:sz w:val="28"/>
          <w:szCs w:val="28"/>
        </w:rPr>
        <w:br w:type="page"/>
      </w:r>
    </w:p>
    <w:p w14:paraId="38462B74">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3AF4A6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0B503AC">
      <w:pPr>
        <w:spacing w:line="360" w:lineRule="auto"/>
        <w:ind w:firstLine="560" w:firstLineChars="225"/>
        <w:rPr>
          <w:rFonts w:ascii="宋体" w:cs="Arial"/>
          <w:kern w:val="0"/>
          <w:sz w:val="24"/>
        </w:rPr>
      </w:pPr>
    </w:p>
    <w:p w14:paraId="0FBC5C29">
      <w:pPr>
        <w:spacing w:line="360" w:lineRule="auto"/>
        <w:ind w:firstLine="560" w:firstLineChars="225"/>
        <w:rPr>
          <w:rFonts w:ascii="宋体" w:cs="Arial"/>
          <w:kern w:val="0"/>
          <w:sz w:val="24"/>
        </w:rPr>
      </w:pPr>
    </w:p>
    <w:p w14:paraId="009CC7CF">
      <w:pPr>
        <w:spacing w:line="360" w:lineRule="auto"/>
        <w:ind w:firstLine="560" w:firstLineChars="225"/>
        <w:rPr>
          <w:rFonts w:ascii="宋体" w:cs="Arial"/>
          <w:kern w:val="0"/>
          <w:sz w:val="24"/>
        </w:rPr>
      </w:pPr>
    </w:p>
    <w:p w14:paraId="42515C85">
      <w:pPr>
        <w:spacing w:line="360" w:lineRule="auto"/>
        <w:ind w:firstLine="560" w:firstLineChars="225"/>
        <w:rPr>
          <w:rFonts w:ascii="宋体" w:cs="Arial"/>
          <w:kern w:val="0"/>
          <w:sz w:val="24"/>
        </w:rPr>
      </w:pPr>
    </w:p>
    <w:p w14:paraId="3A90FCAA">
      <w:pPr>
        <w:widowControl/>
        <w:jc w:val="left"/>
        <w:rPr>
          <w:rFonts w:ascii="宋体" w:cs="Arial"/>
          <w:kern w:val="0"/>
          <w:sz w:val="24"/>
        </w:rPr>
      </w:pPr>
      <w:r>
        <w:rPr>
          <w:rFonts w:ascii="宋体" w:cs="Arial"/>
          <w:kern w:val="0"/>
          <w:sz w:val="24"/>
        </w:rPr>
        <w:br w:type="page"/>
      </w:r>
    </w:p>
    <w:p w14:paraId="1B007C66">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sz w:val="24"/>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B887D16">
      <w:pPr>
        <w:spacing w:line="360" w:lineRule="auto"/>
        <w:rPr>
          <w:rFonts w:ascii="宋体" w:cs="Arial"/>
          <w:kern w:val="0"/>
          <w:sz w:val="24"/>
        </w:rPr>
      </w:pPr>
    </w:p>
    <w:p w14:paraId="20637831">
      <w:pPr>
        <w:spacing w:line="360" w:lineRule="auto"/>
        <w:rPr>
          <w:rFonts w:ascii="宋体" w:cs="Arial"/>
          <w:kern w:val="0"/>
          <w:sz w:val="24"/>
        </w:rPr>
      </w:pPr>
    </w:p>
    <w:p w14:paraId="19FAD636">
      <w:pPr>
        <w:pStyle w:val="39"/>
      </w:pPr>
      <w:r>
        <w:br w:type="page"/>
      </w:r>
      <w:bookmarkStart w:id="41" w:name="_Toc134536604"/>
      <w:r>
        <w:rPr>
          <w:rFonts w:hint="eastAsia"/>
        </w:rPr>
        <w:t>第四章  采购需求</w:t>
      </w:r>
      <w:bookmarkEnd w:id="41"/>
    </w:p>
    <w:p w14:paraId="6235B707">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sz w:val="28"/>
          <w:szCs w:val="28"/>
        </w:rPr>
      </w:pPr>
      <w:r>
        <w:rPr>
          <w:rFonts w:hint="eastAsia"/>
          <w:b/>
          <w:sz w:val="28"/>
          <w:szCs w:val="28"/>
        </w:rPr>
        <w:t>项目概况</w:t>
      </w:r>
    </w:p>
    <w:p w14:paraId="413BB757">
      <w:pPr>
        <w:pStyle w:val="149"/>
        <w:ind w:right="439" w:firstLine="498" w:firstLineChars="200"/>
        <w:rPr>
          <w:rFonts w:hint="eastAsia"/>
          <w:b/>
          <w:sz w:val="28"/>
          <w:szCs w:val="28"/>
        </w:rPr>
      </w:pPr>
      <w:r>
        <w:rPr>
          <w:rFonts w:hint="eastAsia" w:cs="Times New Roman" w:asciiTheme="minorEastAsia" w:hAnsiTheme="minorEastAsia" w:eastAsiaTheme="minorEastAsia"/>
          <w:b w:val="0"/>
          <w:bCs/>
          <w:lang w:val="en-US" w:eastAsia="zh-CN"/>
        </w:rPr>
        <w:t>广安市人民医院项目电梯维保服务，此次广安市人民医院电梯维保共计26部（其中直梯22部，扶梯4部，但未包括2024年安装的感染科E梯和第二住院楼已停用的扶梯），含清理、润滑、检查、调整、修理在电梯井道内及机房内属于电梯设备与装置以及所有控制、指示、运行零部件等工作。（电梯数量、规格、型号明细表详见附件2）</w:t>
      </w:r>
    </w:p>
    <w:tbl>
      <w:tblPr>
        <w:tblStyle w:val="44"/>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825"/>
        <w:gridCol w:w="1200"/>
        <w:gridCol w:w="1260"/>
        <w:gridCol w:w="1290"/>
        <w:gridCol w:w="1515"/>
      </w:tblGrid>
      <w:tr w14:paraId="3013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6A2FA8D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1024" w:type="dxa"/>
            <w:vAlign w:val="center"/>
          </w:tcPr>
          <w:p w14:paraId="6BDD058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633" w:type="dxa"/>
            <w:vAlign w:val="center"/>
          </w:tcPr>
          <w:p w14:paraId="5E2090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名称</w:t>
            </w:r>
          </w:p>
        </w:tc>
        <w:tc>
          <w:tcPr>
            <w:tcW w:w="825" w:type="dxa"/>
            <w:vAlign w:val="center"/>
          </w:tcPr>
          <w:p w14:paraId="25BA44A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kern w:val="0"/>
                <w:sz w:val="24"/>
              </w:rPr>
            </w:pPr>
            <w:r>
              <w:rPr>
                <w:rFonts w:hint="eastAsia" w:ascii="宋体" w:hAnsi="宋体"/>
                <w:kern w:val="0"/>
                <w:sz w:val="24"/>
              </w:rPr>
              <w:t>数量</w:t>
            </w:r>
          </w:p>
        </w:tc>
        <w:tc>
          <w:tcPr>
            <w:tcW w:w="825" w:type="dxa"/>
            <w:vAlign w:val="center"/>
          </w:tcPr>
          <w:p w14:paraId="252F517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val="en-US" w:eastAsia="zh-CN"/>
              </w:rPr>
            </w:pPr>
            <w:r>
              <w:rPr>
                <w:rFonts w:hint="eastAsia" w:ascii="宋体" w:hAnsi="宋体"/>
                <w:kern w:val="0"/>
                <w:sz w:val="24"/>
                <w:lang w:val="en-US" w:eastAsia="zh-CN"/>
              </w:rPr>
              <w:t>期限</w:t>
            </w:r>
          </w:p>
        </w:tc>
        <w:tc>
          <w:tcPr>
            <w:tcW w:w="1200" w:type="dxa"/>
            <w:vAlign w:val="center"/>
          </w:tcPr>
          <w:p w14:paraId="40B4322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单价</w:t>
            </w:r>
          </w:p>
          <w:p w14:paraId="7C2E40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cs="宋体"/>
                <w:sz w:val="24"/>
              </w:rPr>
              <w:t>（元/台/年）</w:t>
            </w:r>
          </w:p>
        </w:tc>
        <w:tc>
          <w:tcPr>
            <w:tcW w:w="1260" w:type="dxa"/>
            <w:vAlign w:val="center"/>
          </w:tcPr>
          <w:p w14:paraId="174080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总价</w:t>
            </w:r>
          </w:p>
          <w:p w14:paraId="3152FB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default" w:ascii="宋体" w:hAnsi="宋体"/>
                <w:kern w:val="0"/>
                <w:sz w:val="24"/>
              </w:rPr>
              <w:t>（</w:t>
            </w:r>
            <w:r>
              <w:rPr>
                <w:rFonts w:hint="eastAsia" w:ascii="宋体" w:hAnsi="宋体"/>
                <w:kern w:val="0"/>
                <w:sz w:val="24"/>
              </w:rPr>
              <w:t>元</w:t>
            </w:r>
            <w:r>
              <w:rPr>
                <w:rFonts w:hint="default" w:ascii="宋体" w:hAnsi="宋体"/>
                <w:kern w:val="0"/>
                <w:sz w:val="24"/>
              </w:rPr>
              <w:t>）</w:t>
            </w:r>
          </w:p>
        </w:tc>
        <w:tc>
          <w:tcPr>
            <w:tcW w:w="1290" w:type="dxa"/>
            <w:vAlign w:val="center"/>
          </w:tcPr>
          <w:p w14:paraId="1BDCFCB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kern w:val="0"/>
                <w:sz w:val="24"/>
              </w:rPr>
            </w:pPr>
            <w:r>
              <w:rPr>
                <w:rFonts w:hint="eastAsia" w:ascii="宋体" w:hAnsi="宋体"/>
                <w:kern w:val="0"/>
                <w:sz w:val="24"/>
              </w:rPr>
              <w:t>最高限价</w:t>
            </w:r>
          </w:p>
          <w:p w14:paraId="5C180B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（元）</w:t>
            </w:r>
          </w:p>
        </w:tc>
        <w:tc>
          <w:tcPr>
            <w:tcW w:w="1515" w:type="dxa"/>
            <w:vAlign w:val="center"/>
          </w:tcPr>
          <w:p w14:paraId="4DEB95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kern w:val="0"/>
                <w:sz w:val="24"/>
                <w:lang w:eastAsia="zh-CN"/>
              </w:rPr>
            </w:pPr>
            <w:r>
              <w:rPr>
                <w:rFonts w:hint="eastAsia" w:ascii="宋体" w:hAnsi="宋体"/>
                <w:kern w:val="0"/>
                <w:sz w:val="24"/>
                <w:lang w:eastAsia="zh-CN"/>
              </w:rPr>
              <w:t>申请科室</w:t>
            </w:r>
          </w:p>
        </w:tc>
      </w:tr>
      <w:tr w14:paraId="4FA1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0E765C1D">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w:t>
            </w:r>
          </w:p>
        </w:tc>
        <w:tc>
          <w:tcPr>
            <w:tcW w:w="1024" w:type="dxa"/>
            <w:vAlign w:val="center"/>
          </w:tcPr>
          <w:p w14:paraId="719DD7B9">
            <w:pPr>
              <w:keepNext w:val="0"/>
              <w:keepLines w:val="0"/>
              <w:suppressLineNumbers w:val="0"/>
              <w:autoSpaceDE w:val="0"/>
              <w:autoSpaceDN w:val="0"/>
              <w:adjustRightInd w:val="0"/>
              <w:spacing w:before="0" w:beforeAutospacing="0" w:after="0" w:afterAutospacing="0"/>
              <w:ind w:left="0" w:right="0"/>
              <w:jc w:val="center"/>
              <w:rPr>
                <w:rFonts w:hint="default" w:eastAsia="宋体"/>
                <w:sz w:val="24"/>
                <w:lang w:val="en-US" w:eastAsia="zh-CN"/>
              </w:rPr>
            </w:pPr>
            <w:r>
              <w:rPr>
                <w:rFonts w:hint="eastAsia"/>
                <w:sz w:val="24"/>
                <w:lang w:val="en-US" w:eastAsia="zh-CN"/>
              </w:rPr>
              <w:t>01-01</w:t>
            </w:r>
          </w:p>
        </w:tc>
        <w:tc>
          <w:tcPr>
            <w:tcW w:w="1633" w:type="dxa"/>
            <w:vAlign w:val="center"/>
          </w:tcPr>
          <w:p w14:paraId="7E90A804">
            <w:pPr>
              <w:keepNext w:val="0"/>
              <w:keepLines w:val="0"/>
              <w:suppressLineNumbers w:val="0"/>
              <w:autoSpaceDE w:val="0"/>
              <w:autoSpaceDN w:val="0"/>
              <w:adjustRightInd w:val="0"/>
              <w:spacing w:before="0" w:beforeAutospacing="0" w:after="0" w:afterAutospacing="0"/>
              <w:ind w:left="0" w:right="0"/>
              <w:jc w:val="center"/>
              <w:rPr>
                <w:rFonts w:hint="default"/>
                <w:sz w:val="24"/>
              </w:rPr>
            </w:pPr>
            <w:r>
              <w:rPr>
                <w:rFonts w:hint="default"/>
                <w:sz w:val="24"/>
              </w:rPr>
              <w:t>电梯维保服务</w:t>
            </w:r>
          </w:p>
        </w:tc>
        <w:tc>
          <w:tcPr>
            <w:tcW w:w="825" w:type="dxa"/>
            <w:vAlign w:val="center"/>
          </w:tcPr>
          <w:p w14:paraId="33C26E0C">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4"/>
                <w:lang w:val="en-US" w:eastAsia="zh-CN"/>
              </w:rPr>
            </w:pPr>
            <w:r>
              <w:rPr>
                <w:rFonts w:hint="eastAsia" w:ascii="宋体" w:hAnsi="宋体"/>
                <w:kern w:val="0"/>
                <w:sz w:val="24"/>
                <w:lang w:val="en-US" w:eastAsia="zh-CN"/>
              </w:rPr>
              <w:t>26台</w:t>
            </w:r>
          </w:p>
        </w:tc>
        <w:tc>
          <w:tcPr>
            <w:tcW w:w="825" w:type="dxa"/>
            <w:vAlign w:val="center"/>
          </w:tcPr>
          <w:p w14:paraId="7F69CF1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2年</w:t>
            </w:r>
          </w:p>
        </w:tc>
        <w:tc>
          <w:tcPr>
            <w:tcW w:w="1200" w:type="dxa"/>
            <w:vAlign w:val="center"/>
          </w:tcPr>
          <w:p w14:paraId="7E8DBCE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3700</w:t>
            </w:r>
          </w:p>
        </w:tc>
        <w:tc>
          <w:tcPr>
            <w:tcW w:w="1260" w:type="dxa"/>
            <w:vAlign w:val="center"/>
          </w:tcPr>
          <w:p w14:paraId="10071F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192400</w:t>
            </w:r>
          </w:p>
        </w:tc>
        <w:tc>
          <w:tcPr>
            <w:tcW w:w="1290" w:type="dxa"/>
            <w:vAlign w:val="center"/>
          </w:tcPr>
          <w:p w14:paraId="44D487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kern w:val="0"/>
                <w:sz w:val="24"/>
                <w:lang w:val="en-US" w:eastAsia="zh-CN"/>
              </w:rPr>
            </w:pPr>
            <w:r>
              <w:rPr>
                <w:rFonts w:hint="eastAsia" w:ascii="宋体" w:hAnsi="宋体"/>
                <w:kern w:val="0"/>
                <w:sz w:val="24"/>
                <w:lang w:val="en-US" w:eastAsia="zh-CN"/>
              </w:rPr>
              <w:t>192400</w:t>
            </w:r>
          </w:p>
        </w:tc>
        <w:tc>
          <w:tcPr>
            <w:tcW w:w="1515" w:type="dxa"/>
            <w:vAlign w:val="center"/>
          </w:tcPr>
          <w:p w14:paraId="08D9689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kern w:val="0"/>
                <w:sz w:val="24"/>
                <w:lang w:val="en-US" w:eastAsia="zh-CN"/>
              </w:rPr>
            </w:pPr>
            <w:r>
              <w:rPr>
                <w:rFonts w:hint="eastAsia" w:ascii="宋体" w:hAnsi="宋体"/>
                <w:kern w:val="0"/>
                <w:sz w:val="24"/>
                <w:lang w:val="en-US" w:eastAsia="zh-CN"/>
              </w:rPr>
              <w:t>动力运行科</w:t>
            </w:r>
          </w:p>
        </w:tc>
      </w:tr>
    </w:tbl>
    <w:p w14:paraId="26CD7AEF">
      <w:pPr>
        <w:pStyle w:val="149"/>
        <w:ind w:right="439"/>
        <w:rPr>
          <w:b/>
          <w:sz w:val="28"/>
          <w:szCs w:val="28"/>
        </w:rPr>
      </w:pPr>
      <w:r>
        <w:rPr>
          <w:rFonts w:hint="eastAsia"/>
          <w:b/>
          <w:sz w:val="28"/>
          <w:szCs w:val="28"/>
        </w:rPr>
        <w:t>★二、商务要求（实质性要求）</w:t>
      </w:r>
    </w:p>
    <w:p w14:paraId="7A5FB9AA">
      <w:pPr>
        <w:pStyle w:val="17"/>
        <w:numPr>
          <w:ilvl w:val="0"/>
          <w:numId w:val="4"/>
        </w:numPr>
        <w:spacing w:before="241" w:beforeLines="50" w:after="241" w:afterLines="50" w:line="460" w:lineRule="exact"/>
        <w:rPr>
          <w:rFonts w:hint="eastAsia"/>
          <w:lang w:val="en-US" w:eastAsia="zh-CN"/>
        </w:rPr>
      </w:pPr>
      <w:r>
        <w:rPr>
          <w:rFonts w:hint="eastAsia"/>
          <w:lang w:val="en-US" w:eastAsia="zh-CN"/>
        </w:rPr>
        <w:t>服务期限：服务期为2年，具体服务起始时间以甲方通知为准。</w:t>
      </w:r>
    </w:p>
    <w:p w14:paraId="5536A575">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rPr>
        <w:t>考核验收周期：合同签订后，</w:t>
      </w:r>
      <w:r>
        <w:rPr>
          <w:rFonts w:hint="eastAsia" w:cs="宋体"/>
          <w:color w:val="auto"/>
          <w:sz w:val="24"/>
          <w:szCs w:val="24"/>
          <w:lang w:eastAsia="zh-CN"/>
        </w:rPr>
        <w:t>成交供应商</w:t>
      </w:r>
      <w:r>
        <w:rPr>
          <w:rFonts w:hint="eastAsia" w:ascii="宋体" w:hAnsi="宋体" w:eastAsia="宋体" w:cs="宋体"/>
          <w:color w:val="auto"/>
          <w:sz w:val="24"/>
          <w:szCs w:val="24"/>
        </w:rPr>
        <w:t>提供的服务由采购方实行每季度考核一次（按照</w:t>
      </w:r>
      <w:r>
        <w:rPr>
          <w:rFonts w:hint="eastAsia" w:cs="宋体"/>
          <w:color w:val="auto"/>
          <w:sz w:val="24"/>
          <w:szCs w:val="24"/>
          <w:lang w:val="en-US" w:eastAsia="zh-CN"/>
        </w:rPr>
        <w:t>采购</w:t>
      </w:r>
      <w:r>
        <w:rPr>
          <w:rFonts w:hint="eastAsia" w:ascii="宋体" w:hAnsi="宋体" w:eastAsia="宋体" w:cs="宋体"/>
          <w:color w:val="auto"/>
          <w:sz w:val="24"/>
          <w:szCs w:val="24"/>
        </w:rPr>
        <w:t>文件、</w:t>
      </w:r>
      <w:r>
        <w:rPr>
          <w:rFonts w:hint="eastAsia" w:cs="宋体"/>
          <w:color w:val="auto"/>
          <w:sz w:val="24"/>
          <w:szCs w:val="24"/>
          <w:lang w:val="en-US" w:eastAsia="zh-CN"/>
        </w:rPr>
        <w:t>采购申请</w:t>
      </w:r>
      <w:r>
        <w:rPr>
          <w:rFonts w:hint="eastAsia" w:ascii="宋体" w:hAnsi="宋体" w:eastAsia="宋体" w:cs="宋体"/>
          <w:color w:val="auto"/>
          <w:sz w:val="24"/>
          <w:szCs w:val="24"/>
        </w:rPr>
        <w:t>文件、合同内容），即一年内考核四次，考核结果分为合格、一般、不合格。</w:t>
      </w:r>
    </w:p>
    <w:p w14:paraId="1303D039">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考核结果将作用于每一季度的服务费用支付。“合格”按</w:t>
      </w:r>
      <w:r>
        <w:rPr>
          <w:rFonts w:hint="eastAsia" w:cs="宋体"/>
          <w:color w:val="auto"/>
          <w:sz w:val="24"/>
          <w:szCs w:val="24"/>
          <w:lang w:val="en-US" w:eastAsia="zh-CN"/>
        </w:rPr>
        <w:t>合同</w:t>
      </w:r>
      <w:r>
        <w:rPr>
          <w:rFonts w:hint="eastAsia" w:ascii="宋体" w:hAnsi="宋体" w:eastAsia="宋体" w:cs="宋体"/>
          <w:color w:val="auto"/>
          <w:sz w:val="24"/>
          <w:szCs w:val="24"/>
        </w:rPr>
        <w:t>约定全额支付相应的服务费用；“一般”按季度服务费用的80%支付；“不合格”不支付本季度服务费用。</w:t>
      </w:r>
    </w:p>
    <w:p w14:paraId="60631A6D">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在合同年限内</w:t>
      </w:r>
      <w:r>
        <w:rPr>
          <w:rFonts w:hint="eastAsia" w:cs="宋体"/>
          <w:color w:val="auto"/>
          <w:sz w:val="24"/>
          <w:szCs w:val="24"/>
          <w:lang w:eastAsia="zh-CN"/>
        </w:rPr>
        <w:t>成交供应商</w:t>
      </w:r>
      <w:r>
        <w:rPr>
          <w:rFonts w:hint="eastAsia" w:ascii="宋体" w:hAnsi="宋体" w:eastAsia="宋体" w:cs="宋体"/>
          <w:color w:val="auto"/>
          <w:sz w:val="24"/>
          <w:szCs w:val="24"/>
        </w:rPr>
        <w:t>不得以任何缘由迫使采购方追加电梯维保服务费用。</w:t>
      </w:r>
    </w:p>
    <w:p w14:paraId="5E90C58F">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rPr>
        <w:t>支付方式及期限：</w:t>
      </w:r>
    </w:p>
    <w:p w14:paraId="112D8BEA">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rPr>
        <w:t xml:space="preserve">.1 </w:t>
      </w:r>
      <w:r>
        <w:rPr>
          <w:rFonts w:hint="eastAsia" w:cs="宋体"/>
          <w:color w:val="auto"/>
          <w:sz w:val="24"/>
          <w:szCs w:val="24"/>
          <w:lang w:val="en-US" w:eastAsia="zh-CN"/>
        </w:rPr>
        <w:t>本项目</w:t>
      </w:r>
      <w:r>
        <w:rPr>
          <w:rFonts w:hint="eastAsia" w:ascii="宋体" w:hAnsi="宋体" w:eastAsia="宋体" w:cs="宋体"/>
          <w:color w:val="auto"/>
          <w:sz w:val="24"/>
          <w:szCs w:val="24"/>
        </w:rPr>
        <w:t>以中标单价</w:t>
      </w:r>
      <w:r>
        <w:rPr>
          <w:rFonts w:hint="eastAsia" w:cs="宋体"/>
          <w:color w:val="auto"/>
          <w:sz w:val="24"/>
          <w:szCs w:val="24"/>
          <w:lang w:val="en-US" w:eastAsia="zh-CN"/>
        </w:rPr>
        <w:t>平均分配到每个季度</w:t>
      </w:r>
      <w:r>
        <w:rPr>
          <w:rFonts w:hint="eastAsia" w:ascii="宋体" w:hAnsi="宋体" w:eastAsia="宋体" w:cs="宋体"/>
          <w:color w:val="auto"/>
          <w:sz w:val="24"/>
          <w:szCs w:val="24"/>
        </w:rPr>
        <w:t>和</w:t>
      </w:r>
      <w:r>
        <w:rPr>
          <w:rFonts w:hint="eastAsia" w:cs="宋体"/>
          <w:color w:val="auto"/>
          <w:sz w:val="24"/>
          <w:szCs w:val="24"/>
          <w:lang w:val="en-US" w:eastAsia="zh-CN"/>
        </w:rPr>
        <w:t>当季实际维保</w:t>
      </w:r>
      <w:r>
        <w:rPr>
          <w:rFonts w:hint="eastAsia" w:ascii="宋体" w:hAnsi="宋体" w:eastAsia="宋体" w:cs="宋体"/>
          <w:color w:val="auto"/>
          <w:sz w:val="24"/>
          <w:szCs w:val="24"/>
        </w:rPr>
        <w:t>电梯台数（但不得多余26台）进行结算。由采购人根据供应商的考核质量按季度支付（扣除相关罚款后的金额），供应商提供正规发票后医院按流程报销支付。</w:t>
      </w:r>
    </w:p>
    <w:p w14:paraId="59B54D5C">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rPr>
        <w:t>.2</w:t>
      </w:r>
      <w:r>
        <w:rPr>
          <w:rFonts w:hint="eastAsia" w:cs="宋体"/>
          <w:color w:val="auto"/>
          <w:sz w:val="24"/>
          <w:szCs w:val="24"/>
          <w:lang w:val="en-US" w:eastAsia="zh-CN"/>
        </w:rPr>
        <w:t>成交供应商</w:t>
      </w:r>
      <w:r>
        <w:rPr>
          <w:rFonts w:hint="eastAsia" w:ascii="宋体" w:hAnsi="宋体" w:eastAsia="宋体" w:cs="宋体"/>
          <w:color w:val="auto"/>
          <w:sz w:val="24"/>
          <w:szCs w:val="24"/>
        </w:rPr>
        <w:t>所在季度内的服务</w:t>
      </w:r>
      <w:r>
        <w:rPr>
          <w:rFonts w:hint="eastAsia" w:cs="宋体"/>
          <w:color w:val="auto"/>
          <w:sz w:val="24"/>
          <w:szCs w:val="24"/>
          <w:lang w:eastAsia="zh-CN"/>
        </w:rPr>
        <w:t>导致</w:t>
      </w:r>
      <w:r>
        <w:rPr>
          <w:rFonts w:hint="eastAsia"/>
          <w:lang w:val="en-US" w:eastAsia="zh-CN"/>
        </w:rPr>
        <w:t>考核结果</w:t>
      </w:r>
      <w:r>
        <w:rPr>
          <w:rFonts w:hint="eastAsia" w:ascii="宋体" w:hAnsi="宋体" w:eastAsia="宋体" w:cs="宋体"/>
          <w:color w:val="auto"/>
          <w:sz w:val="24"/>
          <w:szCs w:val="24"/>
        </w:rPr>
        <w:t>“不合格”时</w:t>
      </w:r>
      <w:r>
        <w:rPr>
          <w:rFonts w:hint="eastAsia" w:cs="宋体"/>
          <w:color w:val="auto"/>
          <w:sz w:val="24"/>
          <w:szCs w:val="24"/>
          <w:lang w:eastAsia="zh-CN"/>
        </w:rPr>
        <w:t>，</w:t>
      </w:r>
      <w:r>
        <w:rPr>
          <w:rFonts w:hint="eastAsia" w:ascii="宋体" w:hAnsi="宋体" w:eastAsia="宋体" w:cs="宋体"/>
          <w:color w:val="auto"/>
          <w:sz w:val="24"/>
          <w:szCs w:val="24"/>
        </w:rPr>
        <w:t>采购人不支付本季度服务费用，且后期</w:t>
      </w:r>
      <w:r>
        <w:rPr>
          <w:rFonts w:hint="eastAsia" w:cs="宋体"/>
          <w:color w:val="auto"/>
          <w:sz w:val="24"/>
          <w:szCs w:val="24"/>
          <w:lang w:val="en-US" w:eastAsia="zh-CN"/>
        </w:rPr>
        <w:t>成交供应商</w:t>
      </w:r>
      <w:r>
        <w:rPr>
          <w:rFonts w:hint="eastAsia" w:ascii="宋体" w:hAnsi="宋体" w:eastAsia="宋体" w:cs="宋体"/>
          <w:color w:val="auto"/>
          <w:sz w:val="24"/>
          <w:szCs w:val="24"/>
        </w:rPr>
        <w:t>应及时调整维保管理模式，调整后在采购服务周期内仍不满足采购人要求的，采购人有权解除合同，由此给采购人造成的损失由</w:t>
      </w:r>
      <w:r>
        <w:rPr>
          <w:rFonts w:hint="eastAsia" w:cs="宋体"/>
          <w:color w:val="auto"/>
          <w:sz w:val="24"/>
          <w:szCs w:val="24"/>
          <w:lang w:val="en-US" w:eastAsia="zh-CN"/>
        </w:rPr>
        <w:t>成交供应商</w:t>
      </w:r>
      <w:r>
        <w:rPr>
          <w:rFonts w:hint="eastAsia" w:ascii="宋体" w:hAnsi="宋体" w:eastAsia="宋体" w:cs="宋体"/>
          <w:color w:val="auto"/>
          <w:sz w:val="24"/>
          <w:szCs w:val="24"/>
        </w:rPr>
        <w:t>承担。</w:t>
      </w:r>
    </w:p>
    <w:p w14:paraId="3438964D">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验收方法和标准：</w:t>
      </w:r>
    </w:p>
    <w:p w14:paraId="5F4D49B8">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本项目采购人将严格按照本项目采购文件的要求或成交人采购申请文件的承诺及响应内容</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进行验收。</w:t>
      </w:r>
    </w:p>
    <w:p w14:paraId="79A87C0F">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7、</w:t>
      </w:r>
      <w:r>
        <w:rPr>
          <w:rFonts w:hint="eastAsia" w:ascii="宋体" w:hAnsi="宋体" w:eastAsia="宋体" w:cs="宋体"/>
          <w:color w:val="auto"/>
          <w:sz w:val="24"/>
          <w:szCs w:val="24"/>
        </w:rPr>
        <w:t>知识产权</w:t>
      </w:r>
    </w:p>
    <w:p w14:paraId="31B5181E">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72983428">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8、</w:t>
      </w:r>
      <w:r>
        <w:rPr>
          <w:rFonts w:hint="eastAsia" w:ascii="宋体" w:hAnsi="宋体" w:eastAsia="宋体" w:cs="宋体"/>
          <w:color w:val="auto"/>
          <w:sz w:val="24"/>
          <w:szCs w:val="24"/>
        </w:rPr>
        <w:t>供应商应考察现场且所发生的一切费用由供应商自己承担。</w:t>
      </w:r>
      <w:bookmarkStart w:id="42" w:name="_Toc217446069"/>
    </w:p>
    <w:p w14:paraId="52A8C782">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9、</w:t>
      </w:r>
      <w:r>
        <w:rPr>
          <w:rFonts w:hint="eastAsia" w:ascii="宋体" w:hAnsi="宋体" w:eastAsia="宋体" w:cs="宋体"/>
          <w:color w:val="auto"/>
          <w:sz w:val="24"/>
          <w:szCs w:val="24"/>
        </w:rPr>
        <w:t>履行合同</w:t>
      </w:r>
      <w:bookmarkEnd w:id="42"/>
    </w:p>
    <w:p w14:paraId="2EE0C6D6">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9</w:t>
      </w:r>
      <w:r>
        <w:rPr>
          <w:rFonts w:hint="eastAsia" w:ascii="宋体" w:hAnsi="宋体" w:eastAsia="宋体" w:cs="宋体"/>
          <w:color w:val="auto"/>
          <w:sz w:val="24"/>
          <w:szCs w:val="24"/>
        </w:rPr>
        <w:t>.1</w:t>
      </w:r>
      <w:r>
        <w:rPr>
          <w:rFonts w:hint="eastAsia" w:cs="宋体"/>
          <w:color w:val="auto"/>
          <w:sz w:val="24"/>
          <w:szCs w:val="24"/>
          <w:lang w:val="en-US" w:eastAsia="zh-CN"/>
        </w:rPr>
        <w:t>成交供应商</w:t>
      </w:r>
      <w:r>
        <w:rPr>
          <w:rFonts w:hint="eastAsia" w:ascii="宋体" w:hAnsi="宋体" w:eastAsia="宋体" w:cs="宋体"/>
          <w:color w:val="auto"/>
          <w:sz w:val="24"/>
          <w:szCs w:val="24"/>
        </w:rPr>
        <w:t>与采购人签订合同后，合同双方应严格执行合同条款，履行合同规定的义务，保证合同的顺利完成。由于</w:t>
      </w:r>
      <w:r>
        <w:rPr>
          <w:rFonts w:hint="eastAsia" w:cs="宋体"/>
          <w:color w:val="auto"/>
          <w:sz w:val="24"/>
          <w:szCs w:val="24"/>
          <w:lang w:val="en-US" w:eastAsia="zh-CN"/>
        </w:rPr>
        <w:t>成交供应商</w:t>
      </w:r>
      <w:r>
        <w:rPr>
          <w:rFonts w:hint="eastAsia" w:ascii="宋体" w:hAnsi="宋体" w:eastAsia="宋体" w:cs="宋体"/>
          <w:color w:val="auto"/>
          <w:sz w:val="24"/>
          <w:szCs w:val="24"/>
        </w:rPr>
        <w:t>原因造成合同不能继续履行，且采购人有权追究其造成的一切损失和责任，并处罚违约金不低于5万元。</w:t>
      </w:r>
    </w:p>
    <w:p w14:paraId="1CE0F1F5">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9</w:t>
      </w:r>
      <w:r>
        <w:rPr>
          <w:rFonts w:hint="eastAsia" w:ascii="宋体" w:hAnsi="宋体" w:eastAsia="宋体" w:cs="宋体"/>
          <w:color w:val="auto"/>
          <w:sz w:val="24"/>
          <w:szCs w:val="24"/>
        </w:rPr>
        <w:t>.2在合同履行过程中，如发生合同纠纷，合同双方应按照《中华人民共和国民法典》的有关规定进行处理</w:t>
      </w:r>
    </w:p>
    <w:p w14:paraId="25C5E6D8">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10、</w:t>
      </w:r>
      <w:r>
        <w:rPr>
          <w:rFonts w:hint="eastAsia" w:ascii="宋体" w:hAnsi="宋体" w:eastAsia="宋体" w:cs="宋体"/>
          <w:color w:val="auto"/>
          <w:sz w:val="24"/>
          <w:szCs w:val="24"/>
        </w:rPr>
        <w:t>争议解决办法</w:t>
      </w:r>
    </w:p>
    <w:p w14:paraId="185F2D43">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10.</w:t>
      </w:r>
      <w:r>
        <w:rPr>
          <w:rFonts w:hint="eastAsia" w:ascii="宋体" w:hAnsi="宋体" w:eastAsia="宋体" w:cs="宋体"/>
          <w:color w:val="auto"/>
          <w:sz w:val="24"/>
          <w:szCs w:val="24"/>
        </w:rPr>
        <w:t>1因货物的质量问题发生争议，由质量技术监督部门或其指定的质量鉴定机构进行质量鉴定。货物符合标准的，鉴定费由甲方承担；货物不符合质量标准的，鉴定费由乙方承担。</w:t>
      </w:r>
    </w:p>
    <w:p w14:paraId="77078D64">
      <w:pPr>
        <w:pStyle w:val="17"/>
        <w:keepNext w:val="0"/>
        <w:keepLines w:val="0"/>
        <w:pageBreakBefore w:val="0"/>
        <w:widowControl w:val="0"/>
        <w:kinsoku/>
        <w:wordWrap/>
        <w:overflowPunct/>
        <w:topLinePunct w:val="0"/>
        <w:autoSpaceDE/>
        <w:autoSpaceDN/>
        <w:bidi w:val="0"/>
        <w:spacing w:line="240" w:lineRule="auto"/>
        <w:ind w:firstLine="498" w:firstLineChars="200"/>
        <w:rPr>
          <w:rFonts w:hint="eastAsia" w:ascii="宋体" w:hAnsi="宋体" w:eastAsia="宋体" w:cs="宋体"/>
          <w:color w:val="auto"/>
          <w:sz w:val="24"/>
          <w:szCs w:val="24"/>
        </w:rPr>
      </w:pPr>
      <w:r>
        <w:rPr>
          <w:rFonts w:hint="eastAsia" w:cs="宋体"/>
          <w:color w:val="auto"/>
          <w:sz w:val="24"/>
          <w:szCs w:val="24"/>
          <w:lang w:val="en-US" w:eastAsia="zh-CN"/>
        </w:rPr>
        <w:t>10.</w:t>
      </w:r>
      <w:r>
        <w:rPr>
          <w:rFonts w:hint="eastAsia" w:ascii="宋体" w:hAnsi="宋体" w:eastAsia="宋体" w:cs="宋体"/>
          <w:color w:val="auto"/>
          <w:sz w:val="24"/>
          <w:szCs w:val="24"/>
        </w:rPr>
        <w:t>2合同履行期间,若双方发生争议，可协商或由有关部门调解解决，协商或调解不成的，由当事人在甲方所在地依法维护其合法权益。</w:t>
      </w:r>
    </w:p>
    <w:p w14:paraId="6C637217">
      <w:pPr>
        <w:pStyle w:val="17"/>
        <w:spacing w:line="240" w:lineRule="auto"/>
        <w:ind w:firstLine="498" w:firstLineChars="200"/>
        <w:rPr>
          <w:rFonts w:hint="default" w:eastAsia="宋体"/>
          <w:lang w:val="en-US" w:eastAsia="zh-CN"/>
        </w:rPr>
      </w:pPr>
      <w:r>
        <w:rPr>
          <w:rFonts w:hint="eastAsia" w:cs="宋体"/>
          <w:color w:val="auto"/>
          <w:lang w:val="en-US" w:eastAsia="zh-CN"/>
        </w:rPr>
        <w:t>注：甲方指采购人，乙方指成交供应商</w:t>
      </w:r>
    </w:p>
    <w:p w14:paraId="6A175466">
      <w:pPr>
        <w:pStyle w:val="17"/>
        <w:numPr>
          <w:ilvl w:val="0"/>
          <w:numId w:val="4"/>
        </w:numPr>
        <w:spacing w:before="241" w:beforeLines="50" w:after="241" w:afterLines="50" w:line="460" w:lineRule="exact"/>
      </w:pPr>
      <w:r>
        <w:br w:type="page"/>
      </w:r>
    </w:p>
    <w:p w14:paraId="1B3F921C">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A75D4C">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★1.根据国家、行业有关规定和规范，建立健全电梯管理制度，并认真执行。建立电梯运行管理、设备维护、安全管理等制度，做好档案管理。</w:t>
      </w:r>
    </w:p>
    <w:p w14:paraId="6A26ED5D">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★2.严格执行国家有关电梯管理规定和安全规程，做到电梯准用证、年检合格证、维保合同完备。</w:t>
      </w:r>
    </w:p>
    <w:p w14:paraId="57D56370">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★3.日常维护保养项目（内容）和要求：电梯维修保养符合《国家制造与安装安全规范》（GB7588-2003）2 号修改单、《电梯维修规范》（GB/T18775-20025）、《特种设备安全监察条例》、《中华人民共和国特种设备安全法》、TSGT5002-2017《维护保养规则》等，必须达到或超过特种设备技术安全规范和国家相关标准的要求，若有新标准和规范须按照新的执行。</w:t>
      </w:r>
    </w:p>
    <w:p w14:paraId="2F3151E3">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未按照国家标准和规范要求进行维护保养、记录、资料存档、突发事件处理等，导致采购方被上级部门处罚（包括罚金等），都由供应商承担。此费用可从维保费中扣除，采购人有权解除合同，同时由此而造成的损失和责任都由供应商承担：</w:t>
      </w:r>
    </w:p>
    <w:p w14:paraId="58C7BD47">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★5.若发生下列情况时医院有权要求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赔偿违约金（每发生一次赔偿500元-5000元），此费用可从维保费中扣除，合同期间累计超过3次如下情况，采购人有权解除合同，同时由此而造成的损失和责任由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承担：①未完成保养任务；②电梯非正常运行或因故障连续停止1天以上（采购人原因除外）。</w:t>
      </w:r>
    </w:p>
    <w:p w14:paraId="6271A625">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★6.在服务期间内负责电梯软件升级和调试工作。服务期间，维保人员应按国家规定做好防护措施，维保人员人身安全和维保造成的其它安全及一切责任都由维保公司负责。</w:t>
      </w:r>
    </w:p>
    <w:p w14:paraId="696308F5">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★7.维保专业人员应取得经特种设备安全监督管理等部门考核合格的特种作业操作证。</w:t>
      </w:r>
    </w:p>
    <w:p w14:paraId="0D6158CD">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★8.自配工作所需的工具和设备，保养时须设置安全警示标志。</w:t>
      </w:r>
    </w:p>
    <w:p w14:paraId="13A671DE">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★9.承担所维修电梯发生的非人为因素引起的一切事故责任。</w:t>
      </w:r>
    </w:p>
    <w:p w14:paraId="1268605E">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★10.维护保养的周期应根据电梯使用情况、工作环境而定，但只可增加，不能减少。</w:t>
      </w:r>
    </w:p>
    <w:p w14:paraId="3CA18148">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★11.本方案中采购人电梯品牌种类多，以及电梯使用时间长和强度大，投标公司有实力完成电梯大修、升级等工作，否则采购人有权解除合同，同时由此而造成的损失和责任由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w:t>
      </w:r>
    </w:p>
    <w:p w14:paraId="416095E0">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12.日常巡检要求：维保人员加强巡视检查，发现问题及时处理，提供相关巡检方案。</w:t>
      </w:r>
    </w:p>
    <w:p w14:paraId="1A116AF1">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13.定期维保内容及要求参考详见</w:t>
      </w:r>
      <w:r>
        <w:rPr>
          <w:rFonts w:hint="eastAsia" w:ascii="宋体" w:hAnsi="宋体" w:cs="宋体"/>
          <w:color w:val="000000" w:themeColor="text1"/>
          <w:sz w:val="24"/>
          <w:lang w:eastAsia="zh-CN"/>
          <w14:textFill>
            <w14:solidFill>
              <w14:schemeClr w14:val="tx1"/>
            </w14:solidFill>
          </w14:textFill>
        </w:rPr>
        <w:t>附件2</w:t>
      </w:r>
      <w:r>
        <w:rPr>
          <w:rFonts w:hint="eastAsia" w:ascii="宋体" w:hAnsi="宋体" w:cs="宋体"/>
          <w:color w:val="000000" w:themeColor="text1"/>
          <w:sz w:val="24"/>
          <w14:textFill>
            <w14:solidFill>
              <w14:schemeClr w14:val="tx1"/>
            </w14:solidFill>
          </w14:textFill>
        </w:rPr>
        <w:t>。</w:t>
      </w:r>
    </w:p>
    <w:p w14:paraId="0FD3615F">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14.有电梯突发事件或事故的应急措施与救援预案，每年演练至少 1次。</w:t>
      </w:r>
    </w:p>
    <w:p w14:paraId="2401DC07">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15.通过有计划的检修、保养，保证电梯各部件在良性循环状态下运转，延长各部件的工作寿命，及时更换除曳引主机部件、电梯装饰、规则要求新增设的安全部件外的其它零部件。保证电梯正常安全顺畅运行。</w:t>
      </w:r>
    </w:p>
    <w:p w14:paraId="45046562">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★16.设立 24 小时维修（包括应急响应、投诉）热线电话，一般事件或故障</w:t>
      </w:r>
      <w:r>
        <w:rPr>
          <w:rFonts w:hint="eastAsia" w:ascii="宋体" w:hAnsi="宋体" w:cs="宋体"/>
          <w:color w:val="000000" w:themeColor="text1"/>
          <w:sz w:val="24"/>
          <w:lang w:val="en-US"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应在接到采购人报修通知后30分钟内派</w:t>
      </w:r>
      <w:r>
        <w:rPr>
          <w:rFonts w:hint="eastAsia" w:ascii="宋体" w:hAnsi="宋体" w:cs="宋体"/>
          <w:color w:val="000000" w:themeColor="text1"/>
          <w:sz w:val="24"/>
          <w:lang w:val="en-US" w:eastAsia="zh-CN"/>
          <w14:textFill>
            <w14:solidFill>
              <w14:schemeClr w14:val="tx1"/>
            </w14:solidFill>
          </w14:textFill>
        </w:rPr>
        <w:t>人</w:t>
      </w:r>
      <w:r>
        <w:rPr>
          <w:rFonts w:hint="eastAsia" w:ascii="宋体" w:hAnsi="宋体" w:cs="宋体"/>
          <w:color w:val="000000" w:themeColor="text1"/>
          <w:sz w:val="24"/>
          <w14:textFill>
            <w14:solidFill>
              <w14:schemeClr w14:val="tx1"/>
            </w14:solidFill>
          </w14:textFill>
        </w:rPr>
        <w:t>员到达现场进行处理，当电梯发生困人、危险事故及紧急故障时</w:t>
      </w:r>
      <w:r>
        <w:rPr>
          <w:rFonts w:hint="eastAsia" w:ascii="宋体" w:hAnsi="宋体" w:cs="宋体"/>
          <w:color w:val="000000" w:themeColor="text1"/>
          <w:sz w:val="24"/>
          <w:lang w:val="en-US"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必须15分钟内到达现场处置。若</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不能及时赶赴现场排除故障，或者违反采购人相关制度及要求，采购人有权要求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赔偿违约金100元-1000元/次,此费用可从维保费中扣除，合同期间累计超过4次此情况，采购人有权解除合同，同时由此而造成的损失和责任由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承担。并记录电梯的运行状态、故障次数，修理次数等重要数据，为保养电梯建立运行档案。技术人员通过对数据的分析，全面了解电梯的运行情况。</w:t>
      </w:r>
    </w:p>
    <w:p w14:paraId="3664ADC3">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需库存电梯易损元器件，保障电梯的正常运行。</w:t>
      </w:r>
    </w:p>
    <w:p w14:paraId="76E2A047">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★18.如本项目遇有重大接待任务、会议等情况，维保单位应提前对电梯进行安全检查，且派适当的电梯维保人员到现场配合（包括开关电梯，全程接送），提供全程监护服务。</w:t>
      </w:r>
    </w:p>
    <w:p w14:paraId="0D70CDDA">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★19.本项目已包括以下实验等费用（具体以实际情况、规范为准），详见</w:t>
      </w:r>
      <w:r>
        <w:rPr>
          <w:rFonts w:hint="eastAsia" w:ascii="宋体" w:hAnsi="宋体" w:cs="宋体"/>
          <w:color w:val="000000" w:themeColor="text1"/>
          <w:sz w:val="24"/>
          <w:lang w:eastAsia="zh-CN"/>
          <w14:textFill>
            <w14:solidFill>
              <w14:schemeClr w14:val="tx1"/>
            </w14:solidFill>
          </w14:textFill>
        </w:rPr>
        <w:t>附件2</w:t>
      </w:r>
      <w:r>
        <w:rPr>
          <w:rFonts w:hint="eastAsia" w:ascii="宋体" w:hAnsi="宋体" w:cs="宋体"/>
          <w:color w:val="000000" w:themeColor="text1"/>
          <w:sz w:val="24"/>
          <w14:textFill>
            <w14:solidFill>
              <w14:schemeClr w14:val="tx1"/>
            </w14:solidFill>
          </w14:textFill>
        </w:rPr>
        <w:t>。</w:t>
      </w:r>
    </w:p>
    <w:p w14:paraId="6A52080D">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20.采购人需定期配合</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进行桥顶、门操作板、桥门和厅门的地坎、门楣、井道、地坑和机房的清洁工作。如井底遇水淹时，应及时采取措施预防漏水或渗水。在采购人需要时，</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应给予技术指导。</w:t>
      </w:r>
    </w:p>
    <w:p w14:paraId="44A34082">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应当具备特种设备安全监督管理部门核发的相应许可。</w:t>
      </w:r>
    </w:p>
    <w:p w14:paraId="32F4DF76">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22.在维保期内，</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应定期对电梯设备的相关项目进行检查，维护采购人电梯安全运行。对所维保电梯的安全运行负责，保障设备整机及零部件完整无损。</w:t>
      </w:r>
    </w:p>
    <w:p w14:paraId="525415CE">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对采购人电梯提供的维保内容必须执行有关规范，按相关规范、电梯维保内容、周期逐一进行维护、维修、保养。每次维保完毕，</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应在“电梯/扶梯维保报告书”上签字。并得到采购人相关人员签字认可，以保证采购人设备安全、正常、可靠运行。若</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未按维保内容及周期进行维修、维护、保养，或违反采购人的有关制度，采购人有权对其进行处罚并从维保费用中扣除 (此罚款与考核扣分导致的扣款不抵触)。如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累计三台次未按维保内容及周期进行维保，采购人将有权单方面解除合同，并由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承担由此而产生的所有损失及责任。若因维修、维护、保养不良造成采购人的电梯故障，</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应负责免费修复且承担由此造成的一切后果和责任。</w:t>
      </w:r>
    </w:p>
    <w:p w14:paraId="5A058154">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2４.</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应根据采购人设备的组成、结构，提供详细的免费的油料及易损件明细表，表中应详列易损件的名称、规格型号等。</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需保证所提供的配件属于原装配件，保证配件的质量。如因</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原因不更换零配件而让设备带病运行而造成人身伤害、财产损失等责任及费用由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自行承担，且采购人有权扣除维保费并可单方面解除合同。</w:t>
      </w:r>
    </w:p>
    <w:p w14:paraId="6A2EE1A6">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在维保时发现非正常因素导致需修理或更换的零配件（单价在200元及以内的除外）应书面及时通知采购人，因</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延误导致的损失由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负责。单价在200元以内的部分配件(详见</w:t>
      </w:r>
      <w:r>
        <w:rPr>
          <w:rFonts w:hint="eastAsia" w:ascii="宋体" w:hAnsi="宋体" w:cs="宋体"/>
          <w:color w:val="000000" w:themeColor="text1"/>
          <w:sz w:val="24"/>
          <w:lang w:eastAsia="zh-CN"/>
          <w14:textFill>
            <w14:solidFill>
              <w14:schemeClr w14:val="tx1"/>
            </w14:solidFill>
          </w14:textFill>
        </w:rPr>
        <w:t>附件2</w:t>
      </w:r>
      <w:r>
        <w:rPr>
          <w:rFonts w:hint="eastAsia" w:ascii="宋体" w:hAnsi="宋体" w:cs="宋体"/>
          <w:color w:val="000000" w:themeColor="text1"/>
          <w:sz w:val="24"/>
          <w14:textFill>
            <w14:solidFill>
              <w14:schemeClr w14:val="tx1"/>
            </w14:solidFill>
          </w14:textFill>
        </w:rPr>
        <w:t>)更换由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免费及时更换。如因中标方</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原因不更换零配件而让设备带病运行造成人身伤害、财产损失等责任及费用由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w:t>
      </w:r>
    </w:p>
    <w:p w14:paraId="74A61B9A">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的维保工作必须保证采购人设备在相关职能部门的检查、检测、年检中合格，否则因设备检测不合格而造成的复检、罚款以及由设备设施原因而造成的人身伤害等所有责任及经济损失均由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w:t>
      </w:r>
    </w:p>
    <w:p w14:paraId="0692CBBA">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27.在维保期间内，</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应随时听取采购人设备运行状况的反映，对不正常的运行状况，应做分析与纠正。应定期对电梯设备的所有项目进行检查，并视情况进行调整、检修、润滑，以维持采购人电梯安全运行。如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发现电梯工作环境（如电源参数、温度、湿度）不利于电梯工作时，应立即与采购人协商解决。</w:t>
      </w:r>
    </w:p>
    <w:p w14:paraId="437E49FA">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有义务配合采购人对电梯日常工作的检查，每月28日之前向采购人提供下月维修、保养计划，每年度对电梯进行全面检查并拟出技术报告交采购人。</w:t>
      </w:r>
    </w:p>
    <w:p w14:paraId="48BEF7FB">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应根据采购人的电梯情况制定年度维保计划，并交采购人。并严格按维保计划和相关规范进行维保。否则，视为违约。</w:t>
      </w:r>
    </w:p>
    <w:p w14:paraId="4CC1793D">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按照国家对电梯的年检规定按时到市技术监督局办理电梯安全年检手续，保证取得相应的检验报告和证件，市技术监督局开具的年检费用则由采购人承担，维保期内如因</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维保不到位需复检的检测费、处罚均由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w:t>
      </w:r>
    </w:p>
    <w:p w14:paraId="6D9D1DDF">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31.电梯维保项目，</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不得以任何理由分包、转包给第三方(包括第三方公司和个人)进行维保，一经发现，视为违约。采购人有权单方面解除合同，并由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承担由此而产生的所有损失及责任，采购人有权要求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赔偿违约金不低于5万元。</w:t>
      </w:r>
    </w:p>
    <w:p w14:paraId="2F7B1572">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必须委派具有相应资质的从业人员为采购人提供服务并作好员工的安全生产教育，承担安全生产责任。必须严格遵守安全生产操作规程和规定，做好安全管理、防护工作，并为己方人员购买必要的保险。作业中应当负责落实现场安全防护措施，保证作业安全。</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在维护保养工作中应保障自身安全，若在维保过程中发生的所有安全事故，包括</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工作人员发生的安全事故、给采购人或第三方造成人身、财产损失及由此引发的行政处罚等，均由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承担全部责任及费用。</w:t>
      </w:r>
    </w:p>
    <w:p w14:paraId="56AF3C88">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有评估风险、防范风险的责任，在无法保证电梯安全运行时，应提前及时通知采购人。</w:t>
      </w:r>
    </w:p>
    <w:p w14:paraId="3AF16292">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34.因</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工作失误等原因致使电梯零部件损坏或引发安全事故的，</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应对其行为所造成的人身及财产损失承担全部赔偿和全部责任。</w:t>
      </w:r>
    </w:p>
    <w:p w14:paraId="03B51824">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应为采购人相关技术人员提供技术培训和制定应急措施和救援方案。</w:t>
      </w:r>
    </w:p>
    <w:p w14:paraId="39BE1539">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接受并认可采购人对</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维保工作的质量考核。</w:t>
      </w:r>
    </w:p>
    <w:p w14:paraId="34BCD3CB">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接到采购人工作联系的相关函件须24小时内作出书面回复。否则，采购人有权要求</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赔偿违约金200元-500元/次，且由此引起的一切后果和责任由</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承担。</w:t>
      </w:r>
    </w:p>
    <w:p w14:paraId="5B7CA07B">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38.负责采购人的电梯应急救援工作。 </w:t>
      </w:r>
    </w:p>
    <w:p w14:paraId="789DD641">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39.</w:t>
      </w:r>
      <w:r>
        <w:rPr>
          <w:rFonts w:hint="eastAsia" w:ascii="宋体" w:hAnsi="宋体" w:cs="宋体"/>
          <w:color w:val="000000" w:themeColor="text1"/>
          <w:sz w:val="24"/>
          <w:lang w:eastAsia="zh-CN"/>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 xml:space="preserve">负责协助使用单位进行应急演练、电梯临时管控等工作。 </w:t>
      </w:r>
    </w:p>
    <w:p w14:paraId="42770D10">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40.维修保养时间错开高峰期进行，不影响医院相关活动。</w:t>
      </w:r>
    </w:p>
    <w:p w14:paraId="237617C8">
      <w:pPr>
        <w:widowControl/>
        <w:jc w:val="left"/>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★41.年度（半年度）维保服务报告：供应商提供年度（半年度）维保服务报告（含保养、维修、检定报告），对一个维保服务周期内的设备运行状况做详细汇总，并且为采购人提供大修、改造的建议和方案。</w:t>
      </w:r>
    </w:p>
    <w:p w14:paraId="0687C46A">
      <w:pPr>
        <w:widowControl/>
        <w:jc w:val="left"/>
        <w:textAlignment w:val="bottom"/>
        <w:rPr>
          <w:rFonts w:ascii="宋体" w:hAnsi="宋体" w:cs="宋体"/>
          <w:b/>
          <w:bCs/>
          <w:kern w:val="0"/>
          <w:sz w:val="24"/>
          <w:lang w:bidi="ar"/>
        </w:rPr>
      </w:pPr>
      <w:r>
        <w:rPr>
          <w:rFonts w:hint="eastAsia" w:ascii="宋体" w:hAnsi="宋体" w:cs="宋体"/>
          <w:color w:val="000000" w:themeColor="text1"/>
          <w:sz w:val="24"/>
          <w14:textFill>
            <w14:solidFill>
              <w14:schemeClr w14:val="tx1"/>
            </w14:solidFill>
          </w14:textFill>
        </w:rPr>
        <w:t>★42.人员要求：持有电梯作业证书，常驻广安维保人员不得少于4人。</w:t>
      </w:r>
    </w:p>
    <w:p w14:paraId="72E50C18">
      <w:pPr>
        <w:pStyle w:val="17"/>
      </w:pPr>
      <w:r>
        <w:rPr>
          <w:rFonts w:hint="eastAsia"/>
        </w:rPr>
        <w:br w:type="page"/>
      </w:r>
    </w:p>
    <w:p w14:paraId="13D15FE4">
      <w:pPr>
        <w:tabs>
          <w:tab w:val="left" w:pos="567"/>
        </w:tabs>
        <w:adjustRightInd w:val="0"/>
        <w:snapToGrid w:val="0"/>
        <w:spacing w:line="460" w:lineRule="exact"/>
        <w:ind w:firstLine="498" w:firstLineChars="200"/>
        <w:rPr>
          <w:rFonts w:ascii="宋体" w:hAnsi="宋体" w:cs="宋体"/>
          <w:sz w:val="24"/>
        </w:rPr>
      </w:pPr>
    </w:p>
    <w:p w14:paraId="64DFB23D">
      <w:pPr>
        <w:pStyle w:val="39"/>
      </w:pPr>
      <w:bookmarkStart w:id="43" w:name="_Toc134536605"/>
      <w:r>
        <w:rPr>
          <w:rFonts w:hint="eastAsia"/>
        </w:rPr>
        <w:t>第五章  评审办法</w:t>
      </w:r>
      <w:bookmarkEnd w:id="43"/>
    </w:p>
    <w:p w14:paraId="5226B7F7">
      <w:pPr>
        <w:pStyle w:val="149"/>
        <w:ind w:right="439"/>
        <w:jc w:val="center"/>
        <w:rPr>
          <w:rFonts w:ascii="黑体" w:hAnsi="黑体" w:eastAsia="黑体"/>
          <w:b/>
        </w:rPr>
      </w:pPr>
      <w:r>
        <w:rPr>
          <w:rFonts w:hint="eastAsia" w:ascii="黑体" w:hAnsi="黑体" w:eastAsia="黑体"/>
          <w:b/>
        </w:rPr>
        <w:t>（一）总则</w:t>
      </w:r>
    </w:p>
    <w:p w14:paraId="380BBA3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2FA82C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7956AF2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76902E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B135A87">
      <w:pPr>
        <w:pStyle w:val="149"/>
        <w:ind w:right="439"/>
        <w:jc w:val="center"/>
        <w:rPr>
          <w:rFonts w:ascii="黑体" w:hAnsi="黑体" w:eastAsia="黑体"/>
          <w:b/>
        </w:rPr>
      </w:pPr>
      <w:bookmarkStart w:id="44" w:name="_Toc217446098"/>
      <w:r>
        <w:rPr>
          <w:rFonts w:hint="eastAsia" w:ascii="黑体" w:hAnsi="黑体" w:eastAsia="黑体"/>
          <w:b/>
        </w:rPr>
        <w:t>（二）评审方法</w:t>
      </w:r>
    </w:p>
    <w:p w14:paraId="13E3134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4F385EAB">
      <w:pPr>
        <w:pStyle w:val="17"/>
      </w:pPr>
    </w:p>
    <w:bookmarkEnd w:id="44"/>
    <w:p w14:paraId="1032D1AA">
      <w:pPr>
        <w:pStyle w:val="149"/>
        <w:ind w:right="439"/>
        <w:jc w:val="center"/>
        <w:rPr>
          <w:rFonts w:ascii="黑体" w:hAnsi="黑体" w:eastAsia="黑体"/>
          <w:b/>
        </w:rPr>
      </w:pPr>
      <w:bookmarkStart w:id="45" w:name="_Toc217446099"/>
      <w:r>
        <w:rPr>
          <w:rFonts w:hint="eastAsia" w:ascii="黑体" w:hAnsi="黑体" w:eastAsia="黑体"/>
          <w:b/>
        </w:rPr>
        <w:t>（三）评审程序</w:t>
      </w:r>
    </w:p>
    <w:p w14:paraId="623AA36D">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sz w:val="24"/>
              </w:rPr>
            </w:pPr>
            <w:r>
              <w:rPr>
                <w:rFonts w:hint="eastAsia"/>
                <w:b/>
                <w:sz w:val="24"/>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B3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09025D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p>
        </w:tc>
        <w:tc>
          <w:tcPr>
            <w:tcW w:w="7117" w:type="dxa"/>
            <w:vAlign w:val="center"/>
          </w:tcPr>
          <w:p w14:paraId="0761C3A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法律、行政法规规定的其他条件（须提供承诺函原件，具体格式详见第三章格式一）</w:t>
            </w:r>
          </w:p>
        </w:tc>
        <w:tc>
          <w:tcPr>
            <w:tcW w:w="850" w:type="dxa"/>
            <w:vAlign w:val="center"/>
          </w:tcPr>
          <w:p w14:paraId="4F22DE79">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3544A5B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7117" w:type="dxa"/>
            <w:vAlign w:val="center"/>
          </w:tcPr>
          <w:p w14:paraId="0D530AE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提供完全响应本项目采购需求</w:t>
            </w:r>
            <w:r>
              <w:rPr>
                <w:rFonts w:hint="eastAsia" w:asciiTheme="minorEastAsia" w:hAnsiTheme="minorEastAsia" w:eastAsiaTheme="minorEastAsia" w:cstheme="minorEastAsia"/>
                <w:sz w:val="24"/>
                <w:lang w:val="en-US" w:eastAsia="zh-CN"/>
              </w:rPr>
              <w:t>中</w:t>
            </w:r>
            <w:r>
              <w:rPr>
                <w:rFonts w:hint="default" w:asciiTheme="minorEastAsia" w:hAnsiTheme="minorEastAsia" w:eastAsiaTheme="minorEastAsia" w:cstheme="minorEastAsia"/>
                <w:b w:val="0"/>
                <w:sz w:val="24"/>
              </w:rPr>
              <w:t>实质性要求</w:t>
            </w:r>
            <w:r>
              <w:rPr>
                <w:rFonts w:hint="default" w:asciiTheme="minorEastAsia" w:hAnsiTheme="minorEastAsia" w:eastAsiaTheme="minorEastAsia" w:cstheme="minorEastAsia"/>
                <w:sz w:val="24"/>
              </w:rPr>
              <w:t>的承诺函加盖鲜章；</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386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0987FA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117" w:type="dxa"/>
            <w:vAlign w:val="center"/>
          </w:tcPr>
          <w:p w14:paraId="393090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具有有效的《中华人民共和国特种设备安装改造维修许可证》(电梯)或《中华人民共和国特种设备生产许可证》(电梯)，提供复印件加盖鲜章；</w:t>
            </w:r>
          </w:p>
        </w:tc>
        <w:tc>
          <w:tcPr>
            <w:tcW w:w="850" w:type="dxa"/>
            <w:vAlign w:val="center"/>
          </w:tcPr>
          <w:p w14:paraId="12F44251">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c>
          <w:tcPr>
            <w:tcW w:w="992" w:type="dxa"/>
            <w:vAlign w:val="center"/>
          </w:tcPr>
          <w:p w14:paraId="7044A16F">
            <w:pPr>
              <w:keepNext w:val="0"/>
              <w:keepLines w:val="0"/>
              <w:suppressLineNumbers w:val="0"/>
              <w:spacing w:before="0" w:beforeAutospacing="0" w:after="0" w:afterAutospacing="0"/>
              <w:ind w:left="0" w:right="0"/>
              <w:rPr>
                <w:rFonts w:hint="default" w:asciiTheme="minorEastAsia" w:hAnsiTheme="minorEastAsia" w:eastAsiaTheme="minorEastAsia" w:cstheme="minorEastAsia"/>
                <w:sz w:val="24"/>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注：1、以上相关资格证明材料中要求提供的复印件均须加盖申请单位公章（鲜章），否则不予认可；</w:t>
            </w:r>
          </w:p>
          <w:p w14:paraId="4E293F14">
            <w:pPr>
              <w:keepNext w:val="0"/>
              <w:keepLines w:val="0"/>
              <w:numPr>
                <w:ilvl w:val="0"/>
                <w:numId w:val="5"/>
              </w:numPr>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sz w:val="24"/>
              </w:rPr>
            </w:pPr>
            <w:r>
              <w:rPr>
                <w:rFonts w:hint="eastAsia" w:ascii="宋体" w:hAnsi="宋体" w:cs="宋体"/>
                <w:sz w:val="24"/>
              </w:rPr>
              <w:t>3、上表中序号3、序号4、序号5、序号6</w:t>
            </w:r>
            <w:r>
              <w:rPr>
                <w:rFonts w:hint="eastAsia" w:ascii="宋体" w:hAnsi="宋体" w:cs="宋体"/>
                <w:sz w:val="24"/>
                <w:lang w:eastAsia="zh-CN"/>
              </w:rPr>
              <w:t>、</w:t>
            </w:r>
            <w:r>
              <w:rPr>
                <w:rFonts w:hint="eastAsia" w:ascii="宋体" w:hAnsi="宋体" w:cs="宋体"/>
                <w:sz w:val="24"/>
                <w:lang w:val="en-US" w:eastAsia="zh-CN"/>
              </w:rPr>
              <w:t>序号7</w:t>
            </w:r>
            <w:r>
              <w:rPr>
                <w:rFonts w:hint="eastAsia" w:ascii="宋体" w:hAnsi="宋体" w:cs="宋体"/>
                <w:sz w:val="24"/>
              </w:rPr>
              <w:t>等内容，报名供应商可只提供承诺函，但需对承诺函的真实性负责。</w:t>
            </w:r>
          </w:p>
        </w:tc>
      </w:tr>
    </w:tbl>
    <w:p w14:paraId="5EBD3C0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sz w:val="24"/>
              </w:rPr>
            </w:pPr>
            <w:r>
              <w:rPr>
                <w:rFonts w:hint="eastAsia"/>
                <w:b/>
                <w:sz w:val="24"/>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sz w:val="24"/>
              </w:rPr>
            </w:pPr>
            <w:r>
              <w:rPr>
                <w:rFonts w:hint="eastAsia"/>
                <w:b/>
                <w:sz w:val="24"/>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sz w:val="24"/>
              </w:rPr>
            </w:pPr>
            <w:r>
              <w:rPr>
                <w:rFonts w:hint="eastAsia"/>
                <w:b/>
                <w:sz w:val="24"/>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sz w:val="24"/>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sz w:val="24"/>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sz w:val="24"/>
              </w:rPr>
            </w:pPr>
            <w:r>
              <w:rPr>
                <w:rFonts w:hint="eastAsia"/>
                <w:b/>
                <w:sz w:val="24"/>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sz w:val="24"/>
              </w:rPr>
            </w:pPr>
            <w:r>
              <w:rPr>
                <w:rFonts w:hint="eastAsia"/>
                <w:b/>
                <w:sz w:val="24"/>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sz w:val="24"/>
              </w:rPr>
            </w:pPr>
            <w:r>
              <w:rPr>
                <w:rFonts w:hint="eastAsia"/>
                <w:sz w:val="24"/>
              </w:rPr>
              <w:t>1</w:t>
            </w:r>
          </w:p>
        </w:tc>
        <w:tc>
          <w:tcPr>
            <w:tcW w:w="7117" w:type="dxa"/>
            <w:vAlign w:val="center"/>
          </w:tcPr>
          <w:p w14:paraId="31327E7C">
            <w:pPr>
              <w:keepNext w:val="0"/>
              <w:keepLines w:val="0"/>
              <w:suppressLineNumbers w:val="0"/>
              <w:spacing w:before="0" w:beforeAutospacing="0" w:after="0" w:afterAutospacing="0"/>
              <w:ind w:left="0" w:right="0"/>
              <w:rPr>
                <w:rFonts w:hint="default"/>
                <w:sz w:val="24"/>
              </w:rPr>
            </w:pPr>
            <w:r>
              <w:rPr>
                <w:rFonts w:hint="eastAsia"/>
                <w:sz w:val="24"/>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sz w:val="24"/>
              </w:rPr>
            </w:pPr>
          </w:p>
        </w:tc>
        <w:tc>
          <w:tcPr>
            <w:tcW w:w="992" w:type="dxa"/>
            <w:vAlign w:val="center"/>
          </w:tcPr>
          <w:p w14:paraId="040C18E3">
            <w:pPr>
              <w:keepNext w:val="0"/>
              <w:keepLines w:val="0"/>
              <w:suppressLineNumbers w:val="0"/>
              <w:spacing w:before="0" w:beforeAutospacing="0" w:after="0" w:afterAutospacing="0"/>
              <w:ind w:left="0" w:right="0"/>
              <w:rPr>
                <w:rFonts w:hint="default"/>
                <w:sz w:val="24"/>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sz w:val="24"/>
              </w:rPr>
            </w:pPr>
            <w:r>
              <w:rPr>
                <w:rFonts w:hint="eastAsia"/>
                <w:sz w:val="24"/>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sz w:val="24"/>
              </w:rPr>
            </w:pPr>
            <w:r>
              <w:rPr>
                <w:rFonts w:hint="eastAsia"/>
                <w:sz w:val="24"/>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sz w:val="24"/>
              </w:rPr>
            </w:pPr>
          </w:p>
        </w:tc>
        <w:tc>
          <w:tcPr>
            <w:tcW w:w="992" w:type="dxa"/>
            <w:vAlign w:val="center"/>
          </w:tcPr>
          <w:p w14:paraId="0F05C5D9">
            <w:pPr>
              <w:keepNext w:val="0"/>
              <w:keepLines w:val="0"/>
              <w:suppressLineNumbers w:val="0"/>
              <w:spacing w:before="0" w:beforeAutospacing="0" w:after="0" w:afterAutospacing="0"/>
              <w:ind w:left="0" w:right="0"/>
              <w:rPr>
                <w:rFonts w:hint="default"/>
                <w:sz w:val="24"/>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sz w:val="24"/>
              </w:rPr>
            </w:pPr>
            <w:r>
              <w:rPr>
                <w:rFonts w:hint="eastAsia"/>
                <w:sz w:val="24"/>
              </w:rPr>
              <w:t>3</w:t>
            </w:r>
          </w:p>
        </w:tc>
        <w:tc>
          <w:tcPr>
            <w:tcW w:w="7117" w:type="dxa"/>
            <w:vAlign w:val="center"/>
          </w:tcPr>
          <w:p w14:paraId="2FF32D7C">
            <w:pPr>
              <w:keepNext w:val="0"/>
              <w:keepLines w:val="0"/>
              <w:suppressLineNumbers w:val="0"/>
              <w:spacing w:before="0" w:beforeAutospacing="0" w:after="0" w:afterAutospacing="0"/>
              <w:ind w:left="0" w:right="0"/>
              <w:rPr>
                <w:rFonts w:hint="default"/>
                <w:sz w:val="24"/>
              </w:rPr>
            </w:pPr>
            <w:r>
              <w:rPr>
                <w:rFonts w:hint="eastAsia"/>
                <w:sz w:val="24"/>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sz w:val="24"/>
              </w:rPr>
            </w:pPr>
          </w:p>
        </w:tc>
        <w:tc>
          <w:tcPr>
            <w:tcW w:w="992" w:type="dxa"/>
            <w:vAlign w:val="center"/>
          </w:tcPr>
          <w:p w14:paraId="2157EEC8">
            <w:pPr>
              <w:keepNext w:val="0"/>
              <w:keepLines w:val="0"/>
              <w:suppressLineNumbers w:val="0"/>
              <w:spacing w:before="0" w:beforeAutospacing="0" w:after="0" w:afterAutospacing="0"/>
              <w:ind w:left="0" w:right="0"/>
              <w:rPr>
                <w:rFonts w:hint="default"/>
                <w:sz w:val="24"/>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sz w:val="24"/>
              </w:rPr>
            </w:pPr>
            <w:r>
              <w:rPr>
                <w:rFonts w:hint="eastAsia"/>
                <w:sz w:val="24"/>
              </w:rPr>
              <w:t>4</w:t>
            </w:r>
          </w:p>
        </w:tc>
        <w:tc>
          <w:tcPr>
            <w:tcW w:w="7117" w:type="dxa"/>
            <w:vAlign w:val="center"/>
          </w:tcPr>
          <w:p w14:paraId="7DCD8A45">
            <w:pPr>
              <w:keepNext w:val="0"/>
              <w:keepLines w:val="0"/>
              <w:suppressLineNumbers w:val="0"/>
              <w:spacing w:before="0" w:beforeAutospacing="0" w:after="0" w:afterAutospacing="0"/>
              <w:ind w:left="0" w:right="0"/>
              <w:rPr>
                <w:rFonts w:hint="default"/>
                <w:sz w:val="24"/>
              </w:rPr>
            </w:pPr>
            <w:r>
              <w:rPr>
                <w:rFonts w:hint="eastAsia"/>
                <w:sz w:val="24"/>
              </w:rPr>
              <w:t>采购申请文件签署、盖章是否符合采购文件规定（本章3.</w:t>
            </w:r>
            <w:r>
              <w:rPr>
                <w:rFonts w:hint="default"/>
                <w:sz w:val="24"/>
              </w:rPr>
              <w:t>1.3</w:t>
            </w:r>
            <w:r>
              <w:rPr>
                <w:rFonts w:hint="eastAsia"/>
                <w:sz w:val="24"/>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sz w:val="24"/>
              </w:rPr>
            </w:pPr>
          </w:p>
        </w:tc>
        <w:tc>
          <w:tcPr>
            <w:tcW w:w="992" w:type="dxa"/>
            <w:vAlign w:val="center"/>
          </w:tcPr>
          <w:p w14:paraId="53D4320D">
            <w:pPr>
              <w:keepNext w:val="0"/>
              <w:keepLines w:val="0"/>
              <w:suppressLineNumbers w:val="0"/>
              <w:spacing w:before="0" w:beforeAutospacing="0" w:after="0" w:afterAutospacing="0"/>
              <w:ind w:left="0" w:right="0"/>
              <w:rPr>
                <w:rFonts w:hint="default"/>
                <w:sz w:val="24"/>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sz w:val="24"/>
              </w:rPr>
            </w:pPr>
            <w:r>
              <w:rPr>
                <w:rFonts w:hint="eastAsia"/>
                <w:sz w:val="24"/>
              </w:rPr>
              <w:t>5</w:t>
            </w:r>
          </w:p>
        </w:tc>
        <w:tc>
          <w:tcPr>
            <w:tcW w:w="7117" w:type="dxa"/>
            <w:vAlign w:val="center"/>
          </w:tcPr>
          <w:p w14:paraId="4FC3D2E4">
            <w:pPr>
              <w:keepNext w:val="0"/>
              <w:keepLines w:val="0"/>
              <w:suppressLineNumbers w:val="0"/>
              <w:spacing w:before="0" w:beforeAutospacing="0" w:after="0" w:afterAutospacing="0"/>
              <w:ind w:left="0" w:right="0"/>
              <w:rPr>
                <w:rFonts w:hint="default"/>
                <w:sz w:val="24"/>
              </w:rPr>
            </w:pPr>
            <w:r>
              <w:rPr>
                <w:rFonts w:hint="eastAsia"/>
                <w:sz w:val="24"/>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sz w:val="24"/>
              </w:rPr>
            </w:pPr>
          </w:p>
        </w:tc>
        <w:tc>
          <w:tcPr>
            <w:tcW w:w="992" w:type="dxa"/>
            <w:vAlign w:val="center"/>
          </w:tcPr>
          <w:p w14:paraId="453F8230">
            <w:pPr>
              <w:keepNext w:val="0"/>
              <w:keepLines w:val="0"/>
              <w:suppressLineNumbers w:val="0"/>
              <w:spacing w:before="0" w:beforeAutospacing="0" w:after="0" w:afterAutospacing="0"/>
              <w:ind w:left="0" w:right="0"/>
              <w:rPr>
                <w:rFonts w:hint="default"/>
                <w:sz w:val="24"/>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sz w:val="24"/>
              </w:rPr>
            </w:pPr>
            <w:r>
              <w:rPr>
                <w:rFonts w:hint="eastAsia"/>
                <w:sz w:val="24"/>
              </w:rPr>
              <w:t>6</w:t>
            </w:r>
          </w:p>
        </w:tc>
        <w:tc>
          <w:tcPr>
            <w:tcW w:w="7117" w:type="dxa"/>
            <w:vAlign w:val="center"/>
          </w:tcPr>
          <w:p w14:paraId="327C7809">
            <w:pPr>
              <w:keepNext w:val="0"/>
              <w:keepLines w:val="0"/>
              <w:suppressLineNumbers w:val="0"/>
              <w:spacing w:before="0" w:beforeAutospacing="0" w:after="0" w:afterAutospacing="0"/>
              <w:ind w:left="0" w:right="0"/>
              <w:rPr>
                <w:rFonts w:hint="default"/>
                <w:sz w:val="24"/>
              </w:rPr>
            </w:pPr>
            <w:r>
              <w:rPr>
                <w:rFonts w:hint="eastAsia"/>
                <w:sz w:val="24"/>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sz w:val="24"/>
              </w:rPr>
            </w:pPr>
          </w:p>
        </w:tc>
        <w:tc>
          <w:tcPr>
            <w:tcW w:w="992" w:type="dxa"/>
            <w:vAlign w:val="center"/>
          </w:tcPr>
          <w:p w14:paraId="307C7CE8">
            <w:pPr>
              <w:keepNext w:val="0"/>
              <w:keepLines w:val="0"/>
              <w:suppressLineNumbers w:val="0"/>
              <w:spacing w:before="0" w:beforeAutospacing="0" w:after="0" w:afterAutospacing="0"/>
              <w:ind w:left="0" w:right="0"/>
              <w:rPr>
                <w:rFonts w:hint="default"/>
                <w:sz w:val="24"/>
              </w:rPr>
            </w:pPr>
          </w:p>
        </w:tc>
      </w:tr>
    </w:tbl>
    <w:p w14:paraId="6AF254F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998C46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6" w:name="_Toc183682422"/>
      <w:bookmarkEnd w:id="46"/>
      <w:bookmarkStart w:id="47" w:name="_Toc183582287"/>
      <w:bookmarkEnd w:id="47"/>
      <w:bookmarkStart w:id="48" w:name="_Toc217446104"/>
      <w:bookmarkEnd w:id="48"/>
    </w:p>
    <w:p w14:paraId="3E51951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4E9715D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B4A8155">
      <w:pPr>
        <w:pStyle w:val="149"/>
        <w:ind w:right="439"/>
        <w:jc w:val="center"/>
        <w:rPr>
          <w:rFonts w:ascii="黑体" w:hAnsi="黑体" w:eastAsia="黑体"/>
          <w:b/>
        </w:rPr>
      </w:pPr>
      <w:bookmarkStart w:id="49" w:name="_Toc217446103"/>
      <w:r>
        <w:rPr>
          <w:rFonts w:hint="eastAsia" w:ascii="黑体" w:hAnsi="黑体" w:eastAsia="黑体"/>
          <w:b/>
        </w:rPr>
        <w:t>（四）评审细则及标准</w:t>
      </w:r>
      <w:bookmarkEnd w:id="49"/>
    </w:p>
    <w:p w14:paraId="5F74A4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0" w:name="_Toc217446060"/>
    </w:p>
    <w:tbl>
      <w:tblPr>
        <w:tblStyle w:val="4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77"/>
        <w:gridCol w:w="873"/>
        <w:gridCol w:w="5669"/>
        <w:gridCol w:w="1458"/>
      </w:tblGrid>
      <w:tr w14:paraId="0B7E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blHeader/>
        </w:trPr>
        <w:tc>
          <w:tcPr>
            <w:tcW w:w="950" w:type="pct"/>
            <w:noWrap w:val="0"/>
            <w:vAlign w:val="center"/>
          </w:tcPr>
          <w:p w14:paraId="39880889">
            <w:pPr>
              <w:keepNext w:val="0"/>
              <w:keepLines w:val="0"/>
              <w:widowControl/>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评分因素及权重</w:t>
            </w:r>
          </w:p>
        </w:tc>
        <w:tc>
          <w:tcPr>
            <w:tcW w:w="442" w:type="pct"/>
            <w:noWrap w:val="0"/>
            <w:vAlign w:val="center"/>
          </w:tcPr>
          <w:p w14:paraId="7E18D21D">
            <w:pPr>
              <w:keepNext w:val="0"/>
              <w:keepLines w:val="0"/>
              <w:widowControl/>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分值</w:t>
            </w:r>
          </w:p>
        </w:tc>
        <w:tc>
          <w:tcPr>
            <w:tcW w:w="2870" w:type="pct"/>
            <w:noWrap w:val="0"/>
            <w:vAlign w:val="center"/>
          </w:tcPr>
          <w:p w14:paraId="78AE5D25">
            <w:pPr>
              <w:keepNext w:val="0"/>
              <w:keepLines w:val="0"/>
              <w:widowControl/>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要求和评分标准</w:t>
            </w:r>
          </w:p>
        </w:tc>
        <w:tc>
          <w:tcPr>
            <w:tcW w:w="738" w:type="pct"/>
            <w:noWrap w:val="0"/>
            <w:vAlign w:val="center"/>
          </w:tcPr>
          <w:p w14:paraId="1A71F294">
            <w:pPr>
              <w:keepNext w:val="0"/>
              <w:keepLines w:val="0"/>
              <w:widowControl/>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说明</w:t>
            </w:r>
          </w:p>
        </w:tc>
      </w:tr>
      <w:tr w14:paraId="317F6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950" w:type="pct"/>
            <w:noWrap w:val="0"/>
            <w:vAlign w:val="center"/>
          </w:tcPr>
          <w:p w14:paraId="78D665B0">
            <w:pPr>
              <w:keepNext w:val="0"/>
              <w:keepLines w:val="0"/>
              <w:suppressLineNumbers w:val="0"/>
              <w:spacing w:before="0" w:beforeAutospacing="0" w:after="0" w:afterAutospacing="0"/>
              <w:ind w:left="0" w:right="0"/>
              <w:jc w:val="center"/>
              <w:rPr>
                <w:rFonts w:hint="default" w:hAnsi="宋体" w:cs="宋体"/>
                <w:szCs w:val="21"/>
              </w:rPr>
            </w:pPr>
            <w:r>
              <w:rPr>
                <w:rFonts w:hint="eastAsia" w:hAnsi="宋体" w:cs="宋体"/>
                <w:szCs w:val="21"/>
              </w:rPr>
              <w:t>投标报价30%</w:t>
            </w:r>
          </w:p>
        </w:tc>
        <w:tc>
          <w:tcPr>
            <w:tcW w:w="442" w:type="pct"/>
            <w:noWrap w:val="0"/>
            <w:vAlign w:val="center"/>
          </w:tcPr>
          <w:p w14:paraId="3FF26CAF">
            <w:pPr>
              <w:keepNext w:val="0"/>
              <w:keepLines w:val="0"/>
              <w:suppressLineNumbers w:val="0"/>
              <w:spacing w:before="0" w:beforeAutospacing="0" w:after="0" w:afterAutospacing="0"/>
              <w:ind w:left="0" w:right="0"/>
              <w:jc w:val="center"/>
              <w:rPr>
                <w:rFonts w:hint="default" w:hAnsi="宋体" w:cs="宋体"/>
                <w:szCs w:val="21"/>
              </w:rPr>
            </w:pPr>
            <w:r>
              <w:rPr>
                <w:rFonts w:hint="eastAsia" w:hAnsi="宋体" w:cs="宋体"/>
                <w:szCs w:val="21"/>
              </w:rPr>
              <w:t>30分</w:t>
            </w:r>
          </w:p>
        </w:tc>
        <w:tc>
          <w:tcPr>
            <w:tcW w:w="2870" w:type="pct"/>
            <w:noWrap w:val="0"/>
            <w:vAlign w:val="top"/>
          </w:tcPr>
          <w:p w14:paraId="57F2B145">
            <w:pPr>
              <w:keepNext w:val="0"/>
              <w:keepLines w:val="0"/>
              <w:suppressLineNumbers w:val="0"/>
              <w:spacing w:before="0" w:beforeAutospacing="0" w:after="0" w:afterAutospacing="0"/>
              <w:ind w:left="0" w:right="0" w:firstLine="438" w:firstLineChars="200"/>
              <w:rPr>
                <w:rFonts w:hint="default" w:hAnsi="宋体" w:cs="宋体"/>
                <w:szCs w:val="21"/>
              </w:rPr>
            </w:pPr>
            <w:r>
              <w:rPr>
                <w:rFonts w:hint="eastAsia" w:hAnsi="宋体" w:cs="宋体"/>
                <w:szCs w:val="21"/>
              </w:rPr>
              <w:t>投标人有效报价中的最低报价为评标基准价，按照下列公式计算每个投标人的投标价格得分。公式：投标报价得分＝（评标基准价/投标报价）×</w:t>
            </w:r>
            <w:r>
              <w:rPr>
                <w:rFonts w:hint="eastAsia" w:hAnsi="宋体" w:cs="宋体"/>
                <w:color w:val="0000FF"/>
                <w:szCs w:val="21"/>
              </w:rPr>
              <w:t>价格权重</w:t>
            </w:r>
            <w:r>
              <w:rPr>
                <w:rFonts w:hint="eastAsia" w:hAnsi="宋体" w:cs="宋体"/>
                <w:szCs w:val="21"/>
              </w:rPr>
              <w:t>×30。</w:t>
            </w:r>
          </w:p>
        </w:tc>
        <w:tc>
          <w:tcPr>
            <w:tcW w:w="738" w:type="pct"/>
            <w:noWrap w:val="0"/>
            <w:vAlign w:val="center"/>
          </w:tcPr>
          <w:p w14:paraId="4C1B71CD">
            <w:pPr>
              <w:keepNext w:val="0"/>
              <w:keepLines w:val="0"/>
              <w:widowControl/>
              <w:suppressLineNumbers w:val="0"/>
              <w:spacing w:before="0" w:beforeAutospacing="0" w:after="0" w:afterAutospacing="0"/>
              <w:ind w:left="0" w:right="0"/>
              <w:rPr>
                <w:rFonts w:hint="default" w:hAnsi="宋体" w:cs="宋体"/>
                <w:szCs w:val="21"/>
              </w:rPr>
            </w:pPr>
            <w:r>
              <w:rPr>
                <w:rFonts w:hint="eastAsia" w:hAnsi="宋体" w:cs="宋体"/>
                <w:szCs w:val="21"/>
              </w:rPr>
              <w:t>共同评分因素</w:t>
            </w:r>
          </w:p>
        </w:tc>
      </w:tr>
      <w:tr w14:paraId="08582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1" w:hRule="atLeast"/>
        </w:trPr>
        <w:tc>
          <w:tcPr>
            <w:tcW w:w="950" w:type="pct"/>
            <w:noWrap w:val="0"/>
            <w:vAlign w:val="center"/>
          </w:tcPr>
          <w:p w14:paraId="4EC6BB55">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企业实力</w:t>
            </w:r>
          </w:p>
          <w:p w14:paraId="6176BEE1">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1</w:t>
            </w:r>
            <w:r>
              <w:rPr>
                <w:rFonts w:hint="eastAsia" w:hAnsi="宋体" w:cs="宋体"/>
                <w:color w:val="auto"/>
                <w:szCs w:val="21"/>
                <w:lang w:val="en-US" w:eastAsia="zh-CN"/>
              </w:rPr>
              <w:t>6</w:t>
            </w:r>
            <w:r>
              <w:rPr>
                <w:rFonts w:hint="eastAsia" w:hAnsi="宋体" w:cs="宋体"/>
                <w:color w:val="auto"/>
                <w:szCs w:val="21"/>
              </w:rPr>
              <w:t>%</w:t>
            </w:r>
          </w:p>
        </w:tc>
        <w:tc>
          <w:tcPr>
            <w:tcW w:w="442" w:type="pct"/>
            <w:noWrap w:val="0"/>
            <w:vAlign w:val="center"/>
          </w:tcPr>
          <w:p w14:paraId="045CE4C5">
            <w:pPr>
              <w:keepNext w:val="0"/>
              <w:keepLines w:val="0"/>
              <w:widowControl/>
              <w:suppressLineNumbers w:val="0"/>
              <w:spacing w:before="0" w:beforeAutospacing="0" w:after="0" w:afterAutospacing="0"/>
              <w:ind w:left="0" w:right="0"/>
              <w:rPr>
                <w:rFonts w:hint="default" w:hAnsi="宋体" w:cs="宋体"/>
                <w:color w:val="auto"/>
                <w:szCs w:val="21"/>
                <w:highlight w:val="yellow"/>
              </w:rPr>
            </w:pPr>
            <w:r>
              <w:rPr>
                <w:rFonts w:hint="eastAsia" w:hAnsi="宋体" w:cs="宋体"/>
                <w:color w:val="auto"/>
                <w:szCs w:val="21"/>
              </w:rPr>
              <w:t>1</w:t>
            </w:r>
            <w:r>
              <w:rPr>
                <w:rFonts w:hint="eastAsia" w:hAnsi="宋体" w:cs="宋体"/>
                <w:color w:val="auto"/>
                <w:szCs w:val="21"/>
                <w:lang w:val="en-US" w:eastAsia="zh-CN"/>
              </w:rPr>
              <w:t>6</w:t>
            </w:r>
            <w:r>
              <w:rPr>
                <w:rFonts w:hint="eastAsia" w:hAnsi="宋体" w:cs="宋体"/>
                <w:color w:val="auto"/>
                <w:szCs w:val="21"/>
              </w:rPr>
              <w:t>分</w:t>
            </w:r>
          </w:p>
        </w:tc>
        <w:tc>
          <w:tcPr>
            <w:tcW w:w="2870" w:type="pct"/>
            <w:noWrap w:val="0"/>
            <w:vAlign w:val="top"/>
          </w:tcPr>
          <w:p w14:paraId="5E5184AE">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一、具有特种设备作业证</w:t>
            </w:r>
            <w:r>
              <w:rPr>
                <w:rFonts w:hint="eastAsia" w:hAnsi="宋体" w:cs="宋体"/>
                <w:color w:val="auto"/>
                <w:szCs w:val="21"/>
                <w:lang w:eastAsia="zh-CN"/>
              </w:rPr>
              <w:t>（电梯修理</w:t>
            </w:r>
            <w:r>
              <w:rPr>
                <w:rFonts w:hint="eastAsia" w:hAnsi="宋体" w:cs="宋体"/>
                <w:color w:val="auto"/>
                <w:szCs w:val="21"/>
                <w:lang w:val="en-US" w:eastAsia="zh-CN"/>
              </w:rPr>
              <w:t>T</w:t>
            </w:r>
            <w:r>
              <w:rPr>
                <w:rFonts w:hint="eastAsia" w:hAnsi="宋体" w:cs="宋体"/>
                <w:color w:val="auto"/>
                <w:szCs w:val="21"/>
                <w:lang w:eastAsia="zh-CN"/>
              </w:rPr>
              <w:t>）</w:t>
            </w:r>
            <w:r>
              <w:rPr>
                <w:rFonts w:hint="eastAsia" w:hAnsi="宋体" w:cs="宋体"/>
                <w:color w:val="auto"/>
                <w:szCs w:val="21"/>
              </w:rPr>
              <w:t>和电气或机械或机电中级工程师及以上的专业技术人员1名得4分、2名及以上得8分。（提供有效的人员职称证书、特种设备作业证及由供应商连续至开标日前购买一年以上的社保证明材料）；</w:t>
            </w:r>
          </w:p>
          <w:p w14:paraId="01F16B1E">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此项合计最多得8分。</w:t>
            </w:r>
          </w:p>
          <w:p w14:paraId="17EE8E18">
            <w:pPr>
              <w:keepNext w:val="0"/>
              <w:keepLines w:val="0"/>
              <w:suppressLineNumbers w:val="0"/>
              <w:spacing w:before="0" w:beforeAutospacing="0" w:after="0" w:afterAutospacing="0"/>
              <w:ind w:left="-80" w:right="0" w:firstLine="438" w:firstLineChars="200"/>
              <w:rPr>
                <w:rFonts w:hint="eastAsia" w:hAnsi="宋体" w:cs="宋体"/>
                <w:color w:val="auto"/>
                <w:szCs w:val="21"/>
                <w:lang w:val="en-US" w:eastAsia="zh-CN"/>
              </w:rPr>
            </w:pPr>
            <w:r>
              <w:rPr>
                <w:rFonts w:hint="eastAsia" w:hAnsi="宋体" w:cs="宋体"/>
                <w:color w:val="auto"/>
                <w:szCs w:val="21"/>
                <w:lang w:eastAsia="zh-CN"/>
              </w:rPr>
              <w:t>二、为配合检验公司和保障医院内电梯年检以及自检检验质量，供应商的</w:t>
            </w:r>
            <w:r>
              <w:rPr>
                <w:rFonts w:hint="eastAsia" w:hAnsi="宋体" w:cs="宋体"/>
                <w:color w:val="auto"/>
                <w:szCs w:val="21"/>
                <w:lang w:val="en-US" w:eastAsia="zh-CN"/>
              </w:rPr>
              <w:t>专业技术人员</w:t>
            </w:r>
            <w:r>
              <w:rPr>
                <w:rFonts w:hint="eastAsia" w:hAnsi="宋体" w:cs="宋体"/>
                <w:color w:val="auto"/>
                <w:szCs w:val="21"/>
              </w:rPr>
              <w:t>具有特种设备作业证</w:t>
            </w:r>
            <w:r>
              <w:rPr>
                <w:rFonts w:hint="eastAsia" w:hAnsi="宋体" w:cs="宋体"/>
                <w:color w:val="auto"/>
                <w:szCs w:val="21"/>
                <w:lang w:eastAsia="zh-CN"/>
              </w:rPr>
              <w:t>（电梯修理</w:t>
            </w:r>
            <w:r>
              <w:rPr>
                <w:rFonts w:hint="eastAsia" w:hAnsi="宋体" w:cs="宋体"/>
                <w:color w:val="auto"/>
                <w:szCs w:val="21"/>
                <w:lang w:val="en-US" w:eastAsia="zh-CN"/>
              </w:rPr>
              <w:t>T</w:t>
            </w:r>
            <w:r>
              <w:rPr>
                <w:rFonts w:hint="eastAsia" w:hAnsi="宋体" w:cs="宋体"/>
                <w:color w:val="auto"/>
                <w:szCs w:val="21"/>
                <w:lang w:eastAsia="zh-CN"/>
              </w:rPr>
              <w:t>）和特种设备检验员证（</w:t>
            </w:r>
            <w:r>
              <w:rPr>
                <w:rFonts w:hint="eastAsia" w:hAnsi="宋体" w:cs="宋体"/>
                <w:color w:val="auto"/>
                <w:szCs w:val="21"/>
                <w:lang w:val="en-US" w:eastAsia="zh-CN"/>
              </w:rPr>
              <w:t>DTY</w:t>
            </w:r>
            <w:r>
              <w:rPr>
                <w:rFonts w:hint="eastAsia" w:hAnsi="宋体" w:cs="宋体"/>
                <w:color w:val="auto"/>
                <w:szCs w:val="21"/>
                <w:lang w:eastAsia="zh-CN"/>
              </w:rPr>
              <w:t>），每同时具有一个得</w:t>
            </w:r>
            <w:r>
              <w:rPr>
                <w:rFonts w:hint="eastAsia" w:hAnsi="宋体" w:cs="宋体"/>
                <w:color w:val="auto"/>
                <w:szCs w:val="21"/>
                <w:lang w:val="en-US" w:eastAsia="zh-CN"/>
              </w:rPr>
              <w:t>1分，</w:t>
            </w:r>
            <w:r>
              <w:rPr>
                <w:rFonts w:hint="eastAsia" w:hAnsi="宋体" w:cs="宋体"/>
                <w:color w:val="auto"/>
                <w:szCs w:val="21"/>
              </w:rPr>
              <w:t>此项合计最多得4分</w:t>
            </w:r>
            <w:r>
              <w:rPr>
                <w:rFonts w:hint="eastAsia" w:hAnsi="宋体" w:cs="宋体"/>
                <w:color w:val="auto"/>
                <w:szCs w:val="21"/>
                <w:lang w:eastAsia="zh-CN"/>
              </w:rPr>
              <w:t>。</w:t>
            </w:r>
            <w:r>
              <w:rPr>
                <w:rFonts w:hint="eastAsia" w:hAnsi="宋体" w:cs="宋体"/>
                <w:color w:val="auto"/>
                <w:szCs w:val="21"/>
              </w:rPr>
              <w:t>（提供有效的人员职称证书、特种设备作业证及由供应商连续至开标日前购买一年以上的社保证明材料）；</w:t>
            </w:r>
          </w:p>
          <w:p w14:paraId="33A7E938">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lang w:eastAsia="zh-CN"/>
              </w:rPr>
              <w:t>三</w:t>
            </w:r>
            <w:r>
              <w:rPr>
                <w:rFonts w:hint="eastAsia" w:hAnsi="宋体" w:cs="宋体"/>
                <w:color w:val="auto"/>
                <w:szCs w:val="21"/>
              </w:rPr>
              <w:t>、维保人员稳定性（4分）</w:t>
            </w:r>
          </w:p>
          <w:p w14:paraId="0418F6B3">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1.持电梯作业资格证的维保人员有10人及以上且由供应商连续至开标日前购买社保有1年及以上得4分；</w:t>
            </w:r>
          </w:p>
          <w:p w14:paraId="69150103">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2.持电梯作业资格证的维保人员有5人及以上(10人以下)且由供应商连续至开标日前购买社保有半年及以上得2分；</w:t>
            </w:r>
          </w:p>
          <w:p w14:paraId="074780A9">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此项合计最多得4分，其他情况或未提供则不得分。（证明材料：提供社保局开具的社会保险单位参保证明和有效期内的电梯作业人员证件复印件）</w:t>
            </w:r>
          </w:p>
          <w:p w14:paraId="509015DE">
            <w:pPr>
              <w:keepNext w:val="0"/>
              <w:keepLines w:val="0"/>
              <w:suppressLineNumbers w:val="0"/>
              <w:spacing w:before="0" w:beforeAutospacing="0" w:after="0" w:afterAutospacing="0"/>
              <w:ind w:left="-80" w:right="0" w:firstLine="438" w:firstLineChars="200"/>
              <w:rPr>
                <w:rFonts w:hint="eastAsia" w:eastAsia="宋体"/>
                <w:color w:val="auto"/>
                <w:lang w:eastAsia="zh-CN"/>
              </w:rPr>
            </w:pPr>
            <w:r>
              <w:rPr>
                <w:rFonts w:hint="eastAsia" w:hAnsi="宋体" w:cs="宋体"/>
                <w:color w:val="auto"/>
                <w:szCs w:val="21"/>
                <w:lang w:eastAsia="zh-CN"/>
              </w:rPr>
              <w:t>注：以上一、二、三项中人员不重复计算；</w:t>
            </w:r>
          </w:p>
        </w:tc>
        <w:tc>
          <w:tcPr>
            <w:tcW w:w="738" w:type="pct"/>
            <w:noWrap w:val="0"/>
            <w:vAlign w:val="center"/>
          </w:tcPr>
          <w:p w14:paraId="41E096B8">
            <w:pPr>
              <w:keepNext w:val="0"/>
              <w:keepLines w:val="0"/>
              <w:widowControl/>
              <w:suppressLineNumbers w:val="0"/>
              <w:spacing w:before="0" w:beforeAutospacing="0" w:after="0" w:afterAutospacing="0"/>
              <w:ind w:left="0" w:right="0"/>
              <w:rPr>
                <w:rFonts w:hint="default" w:hAnsi="宋体" w:cs="宋体"/>
                <w:color w:val="auto"/>
                <w:szCs w:val="21"/>
              </w:rPr>
            </w:pPr>
          </w:p>
        </w:tc>
      </w:tr>
      <w:tr w14:paraId="2FA55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950" w:type="pct"/>
            <w:noWrap w:val="0"/>
            <w:vAlign w:val="center"/>
          </w:tcPr>
          <w:p w14:paraId="1AD21EEA">
            <w:pPr>
              <w:keepNext w:val="0"/>
              <w:keepLines w:val="0"/>
              <w:suppressLineNumbers w:val="0"/>
              <w:spacing w:before="0" w:beforeAutospacing="0" w:after="0" w:afterAutospacing="0"/>
              <w:ind w:left="0" w:right="0"/>
              <w:jc w:val="center"/>
              <w:rPr>
                <w:rFonts w:hint="default" w:hAnsi="宋体" w:cs="宋体"/>
                <w:color w:val="auto"/>
                <w:szCs w:val="21"/>
              </w:rPr>
            </w:pPr>
            <w:r>
              <w:rPr>
                <w:rFonts w:hint="eastAsia" w:hAnsi="宋体" w:cs="宋体"/>
                <w:color w:val="auto"/>
                <w:szCs w:val="21"/>
              </w:rPr>
              <w:t>技术要求</w:t>
            </w:r>
            <w:r>
              <w:rPr>
                <w:rFonts w:hint="default" w:hAnsi="宋体" w:cs="宋体"/>
                <w:color w:val="auto"/>
                <w:szCs w:val="21"/>
              </w:rPr>
              <w:t>1</w:t>
            </w:r>
            <w:r>
              <w:rPr>
                <w:rFonts w:hint="eastAsia" w:hAnsi="宋体" w:cs="宋体"/>
                <w:color w:val="auto"/>
                <w:szCs w:val="21"/>
                <w:lang w:val="en-US" w:eastAsia="zh-CN"/>
              </w:rPr>
              <w:t>4</w:t>
            </w:r>
            <w:r>
              <w:rPr>
                <w:rFonts w:hint="default" w:hAnsi="宋体" w:cs="宋体"/>
                <w:color w:val="auto"/>
                <w:szCs w:val="21"/>
              </w:rPr>
              <w:t>%</w:t>
            </w:r>
          </w:p>
        </w:tc>
        <w:tc>
          <w:tcPr>
            <w:tcW w:w="442" w:type="pct"/>
            <w:noWrap w:val="0"/>
            <w:vAlign w:val="center"/>
          </w:tcPr>
          <w:p w14:paraId="5EBAF497">
            <w:pPr>
              <w:keepNext w:val="0"/>
              <w:keepLines w:val="0"/>
              <w:suppressLineNumbers w:val="0"/>
              <w:spacing w:before="0" w:beforeAutospacing="0" w:after="0" w:afterAutospacing="0"/>
              <w:ind w:left="0" w:right="0"/>
              <w:jc w:val="center"/>
              <w:rPr>
                <w:rFonts w:hint="default" w:hAnsi="宋体" w:cs="宋体"/>
                <w:color w:val="auto"/>
                <w:szCs w:val="21"/>
              </w:rPr>
            </w:pPr>
            <w:r>
              <w:rPr>
                <w:rFonts w:hint="default" w:hAnsi="宋体" w:cs="宋体"/>
                <w:color w:val="auto"/>
                <w:szCs w:val="21"/>
              </w:rPr>
              <w:t>1</w:t>
            </w:r>
            <w:r>
              <w:rPr>
                <w:rFonts w:hint="eastAsia" w:hAnsi="宋体" w:cs="宋体"/>
                <w:color w:val="auto"/>
                <w:szCs w:val="21"/>
                <w:lang w:val="en-US" w:eastAsia="zh-CN"/>
              </w:rPr>
              <w:t>4</w:t>
            </w:r>
            <w:r>
              <w:rPr>
                <w:rFonts w:hint="eastAsia" w:hAnsi="宋体" w:cs="宋体"/>
                <w:color w:val="auto"/>
                <w:szCs w:val="21"/>
              </w:rPr>
              <w:t>分</w:t>
            </w:r>
          </w:p>
        </w:tc>
        <w:tc>
          <w:tcPr>
            <w:tcW w:w="2870" w:type="pct"/>
            <w:noWrap w:val="0"/>
            <w:vAlign w:val="center"/>
          </w:tcPr>
          <w:p w14:paraId="5162CE71">
            <w:pPr>
              <w:keepNext w:val="0"/>
              <w:keepLines w:val="0"/>
              <w:suppressLineNumbers w:val="0"/>
              <w:spacing w:before="0" w:beforeAutospacing="0" w:after="0" w:afterAutospacing="0"/>
              <w:ind w:left="-80" w:right="0" w:firstLine="438" w:firstLineChars="200"/>
              <w:rPr>
                <w:rFonts w:hint="default" w:hAnsi="宋体" w:cs="宋体"/>
                <w:color w:val="auto"/>
                <w:szCs w:val="21"/>
              </w:rPr>
            </w:pPr>
            <w:r>
              <w:rPr>
                <w:rFonts w:hint="eastAsia" w:hAnsi="宋体" w:cs="宋体"/>
                <w:color w:val="auto"/>
                <w:szCs w:val="21"/>
              </w:rPr>
              <w:t>完全满足技术要求得1</w:t>
            </w:r>
            <w:r>
              <w:rPr>
                <w:rFonts w:hint="eastAsia" w:hAnsi="宋体" w:cs="宋体"/>
                <w:color w:val="auto"/>
                <w:szCs w:val="21"/>
                <w:lang w:val="en-US" w:eastAsia="zh-CN"/>
              </w:rPr>
              <w:t>4</w:t>
            </w:r>
            <w:r>
              <w:rPr>
                <w:rFonts w:hint="eastAsia" w:hAnsi="宋体" w:cs="宋体"/>
                <w:color w:val="auto"/>
                <w:szCs w:val="21"/>
              </w:rPr>
              <w:t>分，</w:t>
            </w:r>
            <w:r>
              <w:rPr>
                <w:rFonts w:hint="eastAsia" w:hAnsi="宋体" w:cs="宋体"/>
                <w:color w:val="auto"/>
                <w:szCs w:val="21"/>
                <w:lang w:val="en-US" w:eastAsia="zh-CN"/>
              </w:rPr>
              <w:t>技术要求中</w:t>
            </w:r>
            <w:r>
              <w:rPr>
                <w:rFonts w:hint="eastAsia" w:ascii="宋体" w:hAnsi="宋体" w:cs="宋体"/>
                <w:color w:val="000000"/>
                <w:kern w:val="0"/>
                <w:szCs w:val="21"/>
              </w:rPr>
              <w:t>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14</w:t>
            </w:r>
            <w:r>
              <w:rPr>
                <w:rFonts w:hint="eastAsia" w:hAnsi="宋体" w:cs="宋体"/>
                <w:color w:val="auto"/>
                <w:szCs w:val="21"/>
              </w:rPr>
              <w:t>。</w:t>
            </w:r>
            <w:r>
              <w:rPr>
                <w:rFonts w:hint="eastAsia" w:ascii="宋体" w:hAnsi="宋体" w:cs="宋体"/>
                <w:color w:val="000000"/>
                <w:kern w:val="0"/>
                <w:szCs w:val="21"/>
              </w:rPr>
              <w:t>注：普通参数为非“★”、“▲”号的参数；重要参数为“▲”号参数。“★”号参数为实质性参数，不参与评分。</w:t>
            </w:r>
            <w:r>
              <w:rPr>
                <w:rFonts w:hint="eastAsia" w:hAnsi="宋体" w:cs="宋体"/>
                <w:color w:val="auto"/>
                <w:szCs w:val="21"/>
              </w:rPr>
              <w:t>。</w:t>
            </w:r>
          </w:p>
        </w:tc>
        <w:tc>
          <w:tcPr>
            <w:tcW w:w="738" w:type="pct"/>
            <w:noWrap w:val="0"/>
            <w:vAlign w:val="center"/>
          </w:tcPr>
          <w:p w14:paraId="1A8AE44B">
            <w:pPr>
              <w:keepNext w:val="0"/>
              <w:keepLines w:val="0"/>
              <w:widowControl/>
              <w:suppressLineNumbers w:val="0"/>
              <w:spacing w:before="0" w:beforeAutospacing="0" w:after="0" w:afterAutospacing="0"/>
              <w:ind w:left="0" w:right="0"/>
              <w:rPr>
                <w:rFonts w:hint="default" w:hAnsi="宋体" w:cs="宋体"/>
                <w:color w:val="auto"/>
                <w:szCs w:val="21"/>
              </w:rPr>
            </w:pPr>
          </w:p>
        </w:tc>
      </w:tr>
      <w:tr w14:paraId="6E23E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9" w:hRule="atLeast"/>
        </w:trPr>
        <w:tc>
          <w:tcPr>
            <w:tcW w:w="950" w:type="pct"/>
            <w:noWrap w:val="0"/>
            <w:vAlign w:val="center"/>
          </w:tcPr>
          <w:p w14:paraId="15D6ACE8">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服务</w:t>
            </w:r>
          </w:p>
          <w:p w14:paraId="0D310A2B">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要求</w:t>
            </w:r>
            <w:r>
              <w:rPr>
                <w:rFonts w:hint="default" w:hAnsi="宋体" w:cs="宋体"/>
                <w:color w:val="auto"/>
                <w:szCs w:val="21"/>
              </w:rPr>
              <w:t>24</w:t>
            </w:r>
            <w:r>
              <w:rPr>
                <w:rFonts w:hint="eastAsia" w:hAnsi="宋体" w:cs="宋体"/>
                <w:color w:val="auto"/>
                <w:szCs w:val="21"/>
              </w:rPr>
              <w:t>%</w:t>
            </w:r>
          </w:p>
        </w:tc>
        <w:tc>
          <w:tcPr>
            <w:tcW w:w="442" w:type="pct"/>
            <w:noWrap w:val="0"/>
            <w:vAlign w:val="center"/>
          </w:tcPr>
          <w:p w14:paraId="4B008DA0">
            <w:pPr>
              <w:keepNext w:val="0"/>
              <w:keepLines w:val="0"/>
              <w:widowControl/>
              <w:suppressLineNumbers w:val="0"/>
              <w:spacing w:before="0" w:beforeAutospacing="0" w:after="0" w:afterAutospacing="0"/>
              <w:ind w:left="0" w:right="0"/>
              <w:rPr>
                <w:rFonts w:hint="default" w:hAnsi="宋体" w:cs="宋体"/>
                <w:color w:val="auto"/>
                <w:szCs w:val="21"/>
              </w:rPr>
            </w:pPr>
            <w:r>
              <w:rPr>
                <w:rFonts w:hint="default" w:hAnsi="宋体" w:cs="宋体"/>
                <w:color w:val="auto"/>
                <w:szCs w:val="21"/>
              </w:rPr>
              <w:t>24</w:t>
            </w:r>
            <w:r>
              <w:rPr>
                <w:rFonts w:hint="eastAsia" w:hAnsi="宋体" w:cs="宋体"/>
                <w:color w:val="auto"/>
                <w:szCs w:val="21"/>
              </w:rPr>
              <w:t>分</w:t>
            </w:r>
          </w:p>
        </w:tc>
        <w:tc>
          <w:tcPr>
            <w:tcW w:w="2870" w:type="pct"/>
            <w:noWrap w:val="0"/>
            <w:vAlign w:val="center"/>
          </w:tcPr>
          <w:p w14:paraId="57C3BAEA">
            <w:pPr>
              <w:keepNext w:val="0"/>
              <w:keepLines w:val="0"/>
              <w:widowControl/>
              <w:suppressLineNumbers w:val="0"/>
              <w:spacing w:before="0" w:beforeAutospacing="0" w:after="0" w:afterAutospacing="0"/>
              <w:ind w:left="0" w:right="0" w:firstLine="438" w:firstLineChars="200"/>
              <w:rPr>
                <w:rFonts w:hint="default" w:hAnsi="宋体" w:cs="宋体"/>
                <w:color w:val="auto"/>
                <w:szCs w:val="21"/>
              </w:rPr>
            </w:pPr>
            <w:r>
              <w:rPr>
                <w:rFonts w:hint="eastAsia" w:hAnsi="宋体" w:cs="宋体"/>
                <w:color w:val="auto"/>
                <w:szCs w:val="21"/>
              </w:rPr>
              <w:t>供应商针对本项目实际要求编制技术服务方案，内容包括但不限于：（1）维保计划及工作安排、（2）维保组织架构、（3）安全管理计划、（4）</w:t>
            </w:r>
            <w:r>
              <w:rPr>
                <w:rFonts w:hint="eastAsia" w:hAnsi="宋体" w:cs="宋体"/>
                <w:color w:val="auto"/>
                <w:szCs w:val="21"/>
                <w:lang w:val="zh-CN"/>
              </w:rPr>
              <w:t>机房环境及规范</w:t>
            </w:r>
            <w:r>
              <w:rPr>
                <w:rFonts w:hint="eastAsia" w:hAnsi="宋体" w:cs="宋体"/>
                <w:color w:val="auto"/>
                <w:szCs w:val="21"/>
              </w:rPr>
              <w:t>管理计划、（5）质量控制措施、（6）常用配件的供应及备货方案、（7）应急预案、（8）配合各类活动方案（包括检查、搬迁科室）等。</w:t>
            </w:r>
          </w:p>
          <w:p w14:paraId="785EA0DE">
            <w:pPr>
              <w:pStyle w:val="197"/>
              <w:keepNext w:val="0"/>
              <w:keepLines w:val="0"/>
              <w:suppressLineNumbers w:val="0"/>
              <w:spacing w:before="0" w:beforeAutospacing="0" w:after="0" w:afterAutospacing="0" w:line="360" w:lineRule="exact"/>
              <w:ind w:left="0" w:right="50" w:firstLine="229" w:firstLineChars="105"/>
              <w:rPr>
                <w:rFonts w:hint="default" w:hAnsi="宋体" w:cs="宋体"/>
                <w:color w:val="auto"/>
                <w:szCs w:val="21"/>
              </w:rPr>
            </w:pPr>
            <w:r>
              <w:rPr>
                <w:rFonts w:hint="eastAsia"/>
                <w:color w:val="auto"/>
                <w:sz w:val="21"/>
                <w:szCs w:val="21"/>
                <w:lang w:eastAsia="zh-CN"/>
              </w:rPr>
              <w:t>各项内容分析合理可行、针对性强、描述清晰的，每项得</w:t>
            </w:r>
            <w:r>
              <w:rPr>
                <w:rFonts w:hint="default"/>
                <w:color w:val="auto"/>
                <w:sz w:val="21"/>
                <w:szCs w:val="21"/>
                <w:lang w:eastAsia="zh-CN"/>
              </w:rPr>
              <w:t>3</w:t>
            </w:r>
            <w:r>
              <w:rPr>
                <w:rFonts w:hint="eastAsia"/>
                <w:color w:val="auto"/>
                <w:sz w:val="21"/>
                <w:szCs w:val="21"/>
                <w:lang w:eastAsia="zh-CN"/>
              </w:rPr>
              <w:t>分；内容缺失、不可行的每项扣</w:t>
            </w:r>
            <w:r>
              <w:rPr>
                <w:rFonts w:hint="default"/>
                <w:color w:val="auto"/>
                <w:sz w:val="21"/>
                <w:szCs w:val="21"/>
                <w:lang w:eastAsia="zh-CN"/>
              </w:rPr>
              <w:t>3</w:t>
            </w:r>
            <w:r>
              <w:rPr>
                <w:rFonts w:hint="eastAsia"/>
                <w:color w:val="auto"/>
                <w:sz w:val="21"/>
                <w:szCs w:val="21"/>
                <w:lang w:eastAsia="zh-CN"/>
              </w:rPr>
              <w:t>分；内容存在瑕疵或内容简略的的每项扣2分。</w:t>
            </w:r>
          </w:p>
        </w:tc>
        <w:tc>
          <w:tcPr>
            <w:tcW w:w="738" w:type="pct"/>
            <w:noWrap w:val="0"/>
            <w:vAlign w:val="center"/>
          </w:tcPr>
          <w:p w14:paraId="082CBD8F">
            <w:pPr>
              <w:keepNext w:val="0"/>
              <w:keepLines w:val="0"/>
              <w:widowControl/>
              <w:suppressLineNumbers w:val="0"/>
              <w:spacing w:before="0" w:beforeAutospacing="0" w:after="0" w:afterAutospacing="0"/>
              <w:ind w:left="0" w:right="0"/>
              <w:rPr>
                <w:rFonts w:hint="default" w:hAnsi="宋体" w:cs="宋体"/>
                <w:color w:val="auto"/>
                <w:szCs w:val="21"/>
              </w:rPr>
            </w:pPr>
          </w:p>
        </w:tc>
      </w:tr>
      <w:tr w14:paraId="67D60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950" w:type="pct"/>
            <w:noWrap w:val="0"/>
            <w:vAlign w:val="center"/>
          </w:tcPr>
          <w:p w14:paraId="390A462E">
            <w:pPr>
              <w:keepNext w:val="0"/>
              <w:keepLines w:val="0"/>
              <w:widowControl/>
              <w:suppressLineNumbers w:val="0"/>
              <w:spacing w:before="0" w:beforeAutospacing="0" w:after="0" w:afterAutospacing="0"/>
              <w:ind w:left="0" w:right="0" w:firstLine="438" w:firstLineChars="200"/>
              <w:jc w:val="center"/>
              <w:rPr>
                <w:rFonts w:hint="default" w:hAnsi="宋体" w:cs="宋体"/>
                <w:color w:val="auto"/>
                <w:szCs w:val="21"/>
              </w:rPr>
            </w:pPr>
            <w:r>
              <w:rPr>
                <w:rFonts w:hint="eastAsia" w:hAnsi="宋体" w:cs="宋体"/>
                <w:color w:val="auto"/>
                <w:szCs w:val="21"/>
              </w:rPr>
              <w:t>类似业绩16%</w:t>
            </w:r>
          </w:p>
        </w:tc>
        <w:tc>
          <w:tcPr>
            <w:tcW w:w="442" w:type="pct"/>
            <w:noWrap w:val="0"/>
            <w:vAlign w:val="center"/>
          </w:tcPr>
          <w:p w14:paraId="32BEB7B0">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16分</w:t>
            </w:r>
          </w:p>
        </w:tc>
        <w:tc>
          <w:tcPr>
            <w:tcW w:w="2870" w:type="pct"/>
            <w:noWrap w:val="0"/>
            <w:vAlign w:val="center"/>
          </w:tcPr>
          <w:p w14:paraId="1D25E428">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1、供应商提供202</w:t>
            </w:r>
            <w:r>
              <w:rPr>
                <w:rFonts w:hint="eastAsia" w:hAnsi="宋体" w:cs="宋体"/>
                <w:color w:val="auto"/>
                <w:szCs w:val="21"/>
                <w:lang w:val="en-US" w:eastAsia="zh-CN"/>
              </w:rPr>
              <w:t>2</w:t>
            </w:r>
            <w:r>
              <w:rPr>
                <w:rFonts w:hint="eastAsia" w:hAnsi="宋体" w:cs="宋体"/>
                <w:color w:val="auto"/>
                <w:szCs w:val="21"/>
              </w:rPr>
              <w:t>年以来医院类似项目业绩（每个项目电梯维保台数2台及以上），每提供一个得1分，最多得10分。</w:t>
            </w:r>
          </w:p>
          <w:p w14:paraId="758DD945">
            <w:pPr>
              <w:keepNext w:val="0"/>
              <w:keepLines w:val="0"/>
              <w:suppressLineNumbers w:val="0"/>
              <w:spacing w:before="0" w:beforeAutospacing="0" w:after="0" w:afterAutospacing="0"/>
              <w:ind w:left="-80" w:right="0" w:firstLine="438" w:firstLineChars="200"/>
              <w:rPr>
                <w:rFonts w:hint="eastAsia" w:hAnsi="宋体" w:cs="宋体"/>
                <w:color w:val="auto"/>
                <w:szCs w:val="21"/>
              </w:rPr>
            </w:pPr>
            <w:r>
              <w:rPr>
                <w:rFonts w:hint="eastAsia" w:hAnsi="宋体" w:cs="宋体"/>
                <w:color w:val="auto"/>
                <w:szCs w:val="21"/>
              </w:rPr>
              <w:t>2、供应商至少提供202</w:t>
            </w:r>
            <w:r>
              <w:rPr>
                <w:rFonts w:hint="eastAsia" w:hAnsi="宋体" w:cs="宋体"/>
                <w:color w:val="auto"/>
                <w:szCs w:val="21"/>
                <w:lang w:val="en-US" w:eastAsia="zh-CN"/>
              </w:rPr>
              <w:t>2</w:t>
            </w:r>
            <w:r>
              <w:rPr>
                <w:rFonts w:hint="eastAsia" w:hAnsi="宋体" w:cs="宋体"/>
                <w:color w:val="auto"/>
                <w:szCs w:val="21"/>
              </w:rPr>
              <w:t>年以来医院类似项目业绩（每个项目电梯维保台数5台及以上）。每提供一个得2分，最多得6分。</w:t>
            </w:r>
          </w:p>
          <w:p w14:paraId="0A93E8AC">
            <w:pPr>
              <w:keepNext w:val="0"/>
              <w:keepLines w:val="0"/>
              <w:suppressLineNumbers w:val="0"/>
              <w:spacing w:before="0" w:beforeAutospacing="0" w:after="0" w:afterAutospacing="0"/>
              <w:ind w:left="-80" w:right="0" w:firstLine="438" w:firstLineChars="200"/>
              <w:rPr>
                <w:rFonts w:hint="default"/>
                <w:color w:val="auto"/>
              </w:rPr>
            </w:pPr>
            <w:r>
              <w:rPr>
                <w:rFonts w:hint="eastAsia" w:hAnsi="宋体" w:cs="宋体"/>
                <w:color w:val="auto"/>
                <w:szCs w:val="21"/>
              </w:rPr>
              <w:t>注：以上业绩不同时计算，并提供合同复印件、定检报告并加盖投标人鲜章。</w:t>
            </w:r>
          </w:p>
        </w:tc>
        <w:tc>
          <w:tcPr>
            <w:tcW w:w="738" w:type="pct"/>
            <w:noWrap w:val="0"/>
            <w:vAlign w:val="center"/>
          </w:tcPr>
          <w:p w14:paraId="6DC56EEB">
            <w:pPr>
              <w:keepNext w:val="0"/>
              <w:keepLines w:val="0"/>
              <w:widowControl/>
              <w:suppressLineNumbers w:val="0"/>
              <w:spacing w:before="0" w:beforeAutospacing="0" w:after="0" w:afterAutospacing="0"/>
              <w:ind w:left="0" w:right="0"/>
              <w:rPr>
                <w:rFonts w:hint="default" w:hAnsi="宋体" w:cs="宋体"/>
                <w:color w:val="auto"/>
                <w:szCs w:val="21"/>
              </w:rPr>
            </w:pPr>
            <w:r>
              <w:rPr>
                <w:rFonts w:hint="eastAsia" w:hAnsi="宋体" w:cs="宋体"/>
                <w:color w:val="auto"/>
                <w:szCs w:val="21"/>
              </w:rPr>
              <w:t>共同评分因素</w:t>
            </w:r>
          </w:p>
        </w:tc>
      </w:tr>
    </w:tbl>
    <w:p w14:paraId="273434D5">
      <w:pPr>
        <w:spacing w:before="241" w:beforeLines="50" w:after="241" w:afterLines="50" w:line="460" w:lineRule="exact"/>
        <w:ind w:firstLine="498" w:firstLineChars="200"/>
        <w:rPr>
          <w:rFonts w:hint="eastAsia" w:hAnsi="宋体"/>
          <w:sz w:val="24"/>
        </w:rPr>
      </w:pPr>
      <w:r>
        <w:rPr>
          <w:rFonts w:hint="eastAsia" w:hAnsi="宋体"/>
          <w:sz w:val="24"/>
        </w:rPr>
        <w:t>注：评分的取值按四舍五入法，保留小数点后两位。</w:t>
      </w:r>
    </w:p>
    <w:p w14:paraId="102EF266">
      <w:pPr>
        <w:pStyle w:val="149"/>
        <w:ind w:right="439"/>
        <w:jc w:val="center"/>
        <w:rPr>
          <w:rFonts w:ascii="黑体" w:hAnsi="黑体" w:eastAsia="黑体"/>
          <w:b/>
        </w:rPr>
      </w:pPr>
      <w:r>
        <w:rPr>
          <w:rFonts w:hint="eastAsia" w:ascii="黑体" w:hAnsi="黑体" w:eastAsia="黑体"/>
          <w:b/>
        </w:rPr>
        <w:t>（五）重新组织</w:t>
      </w:r>
    </w:p>
    <w:p w14:paraId="48CC87BC">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428DD1C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1DAB34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45"/>
    <w:bookmarkEnd w:id="50"/>
    <w:p w14:paraId="618B41BE">
      <w:pPr>
        <w:pStyle w:val="149"/>
        <w:ind w:right="439"/>
        <w:jc w:val="center"/>
        <w:rPr>
          <w:rFonts w:ascii="黑体" w:hAnsi="黑体" w:eastAsia="黑体"/>
          <w:b/>
        </w:rPr>
      </w:pPr>
      <w:bookmarkStart w:id="51" w:name="_Toc217446061"/>
      <w:bookmarkStart w:id="52" w:name="_Toc217446105"/>
      <w:bookmarkStart w:id="53" w:name="_Toc208849022"/>
      <w:bookmarkStart w:id="54" w:name="_Toc183682432"/>
      <w:bookmarkStart w:id="55" w:name="_Toc183582297"/>
      <w:r>
        <w:rPr>
          <w:rFonts w:hint="eastAsia" w:ascii="黑体" w:hAnsi="黑体" w:eastAsia="黑体"/>
          <w:b/>
        </w:rPr>
        <w:t>（六）成交人的确定</w:t>
      </w:r>
    </w:p>
    <w:p w14:paraId="31C613E8">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51"/>
      <w:r>
        <w:rPr>
          <w:rFonts w:hint="eastAsia" w:hAnsi="宋体"/>
          <w:sz w:val="24"/>
        </w:rPr>
        <w:t>：</w:t>
      </w:r>
    </w:p>
    <w:p w14:paraId="22B19A9C">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sz w:val="24"/>
        </w:rPr>
      </w:pPr>
      <w:bookmarkStart w:id="56" w:name="_Toc217446062"/>
      <w:r>
        <w:rPr>
          <w:rFonts w:hint="eastAsia" w:hAnsi="宋体"/>
          <w:sz w:val="24"/>
        </w:rPr>
        <w:t>1）成交候选人放弃中选的；</w:t>
      </w:r>
    </w:p>
    <w:p w14:paraId="09DB9BA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237E906">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3000F9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177156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3FC64C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FFDDF65">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DD39C39">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56"/>
    </w:p>
    <w:p w14:paraId="7814F42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52"/>
    <w:bookmarkEnd w:id="53"/>
    <w:bookmarkEnd w:id="54"/>
    <w:bookmarkEnd w:id="55"/>
    <w:p w14:paraId="7EECC1BF">
      <w:pPr>
        <w:pStyle w:val="149"/>
        <w:ind w:right="439"/>
        <w:jc w:val="center"/>
        <w:rPr>
          <w:rFonts w:ascii="黑体" w:hAnsi="黑体" w:eastAsia="黑体"/>
          <w:b/>
        </w:rPr>
      </w:pPr>
      <w:r>
        <w:rPr>
          <w:rFonts w:hint="eastAsia" w:ascii="黑体" w:hAnsi="黑体" w:eastAsia="黑体"/>
          <w:b/>
        </w:rPr>
        <w:t>（七）评审专家在采购活动中承担以下义务</w:t>
      </w:r>
    </w:p>
    <w:p w14:paraId="60E2C91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6DA1E9B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062687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sz w:val="36"/>
          <w:szCs w:val="32"/>
        </w:rPr>
      </w:pPr>
      <w:r>
        <w:rPr>
          <w:rFonts w:hint="eastAsia" w:ascii="宋体" w:hAnsi="宋体"/>
          <w:szCs w:val="36"/>
        </w:rPr>
        <w:br w:type="page"/>
      </w:r>
      <w:bookmarkStart w:id="57" w:name="_Toc11901"/>
      <w:bookmarkStart w:id="58" w:name="_Toc30899"/>
      <w:bookmarkStart w:id="59" w:name="_Toc134536607"/>
      <w:r>
        <w:rPr>
          <w:rFonts w:hint="eastAsia" w:ascii="Cambria" w:hAnsi="Cambria" w:eastAsia="华文中宋"/>
          <w:b/>
          <w:bCs/>
          <w:sz w:val="36"/>
          <w:szCs w:val="32"/>
        </w:rPr>
        <w:t>第</w:t>
      </w:r>
      <w:r>
        <w:rPr>
          <w:rFonts w:hint="eastAsia" w:ascii="Cambria" w:hAnsi="Cambria" w:eastAsia="华文中宋"/>
          <w:b/>
          <w:bCs/>
          <w:sz w:val="36"/>
          <w:szCs w:val="32"/>
          <w:lang w:eastAsia="zh-CN"/>
        </w:rPr>
        <w:t>六</w:t>
      </w:r>
      <w:r>
        <w:rPr>
          <w:rFonts w:hint="eastAsia" w:ascii="Cambria" w:hAnsi="Cambria" w:eastAsia="华文中宋"/>
          <w:b/>
          <w:bCs/>
          <w:sz w:val="36"/>
          <w:szCs w:val="32"/>
        </w:rPr>
        <w:t>章  广安市人民医院供应商黑名单管理办法</w:t>
      </w:r>
      <w:bookmarkEnd w:id="57"/>
      <w:bookmarkEnd w:id="58"/>
      <w:bookmarkEnd w:id="59"/>
    </w:p>
    <w:p w14:paraId="236743A0">
      <w:pPr>
        <w:jc w:val="center"/>
        <w:rPr>
          <w:b/>
          <w:bCs/>
          <w:sz w:val="28"/>
          <w:szCs w:val="28"/>
        </w:rPr>
      </w:pPr>
    </w:p>
    <w:p w14:paraId="1603C3F3">
      <w:pPr>
        <w:widowControl/>
        <w:jc w:val="center"/>
        <w:rPr>
          <w:b/>
          <w:bCs/>
          <w:sz w:val="28"/>
          <w:szCs w:val="28"/>
        </w:rPr>
      </w:pPr>
      <w:r>
        <w:rPr>
          <w:rFonts w:hint="eastAsia"/>
          <w:b/>
          <w:bCs/>
          <w:sz w:val="28"/>
          <w:szCs w:val="28"/>
        </w:rPr>
        <w:t>第一章 总则</w:t>
      </w:r>
    </w:p>
    <w:p w14:paraId="67FA320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A3B8D5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4AA9FBB">
      <w:pPr>
        <w:widowControl/>
        <w:jc w:val="center"/>
        <w:rPr>
          <w:b/>
          <w:bCs/>
          <w:sz w:val="28"/>
          <w:szCs w:val="28"/>
        </w:rPr>
      </w:pPr>
      <w:r>
        <w:rPr>
          <w:rFonts w:hint="eastAsia"/>
          <w:b/>
          <w:bCs/>
          <w:sz w:val="28"/>
          <w:szCs w:val="28"/>
        </w:rPr>
        <w:t>第二章 列入供应商黑名单依据</w:t>
      </w:r>
    </w:p>
    <w:p w14:paraId="6E74E1A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0A8F1C9A">
      <w:pPr>
        <w:widowControl/>
        <w:ind w:firstLine="498" w:firstLineChars="200"/>
        <w:rPr>
          <w:sz w:val="24"/>
        </w:rPr>
      </w:pPr>
      <w:r>
        <w:rPr>
          <w:rFonts w:hint="eastAsia"/>
          <w:sz w:val="24"/>
        </w:rPr>
        <w:t>（一）实施商业贿赂行为的。</w:t>
      </w:r>
    </w:p>
    <w:p w14:paraId="5E900298">
      <w:pPr>
        <w:widowControl/>
        <w:ind w:firstLine="498" w:firstLineChars="200"/>
        <w:rPr>
          <w:sz w:val="24"/>
        </w:rPr>
      </w:pPr>
      <w:r>
        <w:rPr>
          <w:rFonts w:hint="eastAsia"/>
          <w:sz w:val="24"/>
        </w:rPr>
        <w:t xml:space="preserve">（二）威胁、恐吓医院工作人员，扰乱医院正常工作秩序的。 </w:t>
      </w:r>
    </w:p>
    <w:p w14:paraId="3FA2FCAB">
      <w:pPr>
        <w:widowControl/>
        <w:ind w:firstLine="498" w:firstLineChars="200"/>
        <w:rPr>
          <w:sz w:val="24"/>
        </w:rPr>
      </w:pPr>
      <w:r>
        <w:rPr>
          <w:rFonts w:hint="eastAsia"/>
          <w:sz w:val="24"/>
        </w:rPr>
        <w:t>（三）提供虚假营业执照、资质证书、体系认证、业绩证明、项目管理人员资质信息和发票的。</w:t>
      </w:r>
    </w:p>
    <w:p w14:paraId="3B44B22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12A466E4">
      <w:pPr>
        <w:widowControl/>
        <w:ind w:firstLine="498" w:firstLineChars="200"/>
        <w:rPr>
          <w:sz w:val="24"/>
        </w:rPr>
      </w:pPr>
      <w:r>
        <w:rPr>
          <w:rFonts w:hint="eastAsia"/>
          <w:sz w:val="24"/>
        </w:rPr>
        <w:t>（七）恶意拖欠或克扣员工、雇工工资或报酬引起纠纷，给医院造成不良声誉影响的。</w:t>
      </w:r>
    </w:p>
    <w:p w14:paraId="07ACFA01">
      <w:pPr>
        <w:widowControl/>
        <w:ind w:firstLine="498" w:firstLineChars="200"/>
        <w:rPr>
          <w:sz w:val="24"/>
        </w:rPr>
      </w:pPr>
      <w:r>
        <w:rPr>
          <w:rFonts w:hint="eastAsia"/>
          <w:sz w:val="24"/>
        </w:rPr>
        <w:t>（八）其它违反国家法律法规给医院带来不良影响的。</w:t>
      </w:r>
    </w:p>
    <w:p w14:paraId="795708BE">
      <w:pPr>
        <w:widowControl/>
        <w:jc w:val="center"/>
        <w:rPr>
          <w:b/>
          <w:bCs/>
          <w:sz w:val="28"/>
          <w:szCs w:val="28"/>
        </w:rPr>
      </w:pPr>
      <w:r>
        <w:rPr>
          <w:rFonts w:hint="eastAsia"/>
          <w:b/>
          <w:bCs/>
          <w:sz w:val="28"/>
          <w:szCs w:val="28"/>
        </w:rPr>
        <w:t>第三章 供应商黑名单的建立和管理</w:t>
      </w:r>
    </w:p>
    <w:p w14:paraId="6FC7846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0494CA3">
      <w:pPr>
        <w:widowControl/>
        <w:rPr>
          <w:sz w:val="24"/>
        </w:rPr>
      </w:pPr>
      <w:r>
        <w:rPr>
          <w:rFonts w:hint="eastAsia"/>
          <w:sz w:val="24"/>
        </w:rPr>
        <w:t>工作，督促各职能科室及时向医院上报供应商黑名单，定期（每半年）或不定期（每次黑名单更新后）向各职能科室通报供应商黑名单。</w:t>
      </w:r>
    </w:p>
    <w:p w14:paraId="29DD760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F5E4D8A">
      <w:pPr>
        <w:widowControl/>
        <w:jc w:val="center"/>
        <w:rPr>
          <w:b/>
          <w:bCs/>
          <w:sz w:val="28"/>
          <w:szCs w:val="28"/>
        </w:rPr>
      </w:pPr>
      <w:r>
        <w:rPr>
          <w:rFonts w:hint="eastAsia"/>
          <w:b/>
          <w:bCs/>
          <w:sz w:val="28"/>
          <w:szCs w:val="28"/>
        </w:rPr>
        <w:t>第四章 黑名单供应商惩戒标准及措施</w:t>
      </w:r>
    </w:p>
    <w:p w14:paraId="43B58D64">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A50234B">
      <w:pPr>
        <w:widowControl/>
        <w:ind w:firstLine="498" w:firstLineChars="200"/>
        <w:rPr>
          <w:sz w:val="24"/>
        </w:rPr>
      </w:pPr>
      <w:r>
        <w:rPr>
          <w:rFonts w:hint="eastAsia"/>
          <w:sz w:val="24"/>
        </w:rPr>
        <w:t>（一）给医院工作人员赠送“红包”、回扣等，导致医院工作人员被纪检监察机关追责问责的。</w:t>
      </w:r>
    </w:p>
    <w:p w14:paraId="0DF289D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9E4D983">
      <w:pPr>
        <w:widowControl/>
        <w:ind w:firstLine="498" w:firstLineChars="200"/>
        <w:rPr>
          <w:sz w:val="24"/>
        </w:rPr>
      </w:pPr>
      <w:r>
        <w:rPr>
          <w:rFonts w:hint="eastAsia"/>
          <w:sz w:val="24"/>
        </w:rPr>
        <w:t>（三）因质量或售后服务差，给医院业务造成一定损失（直接损失1万元至10万元，不含10万元）或影响的。</w:t>
      </w:r>
    </w:p>
    <w:p w14:paraId="1731F9D1">
      <w:pPr>
        <w:widowControl/>
        <w:ind w:firstLine="498" w:firstLineChars="200"/>
        <w:rPr>
          <w:sz w:val="24"/>
        </w:rPr>
      </w:pPr>
      <w:r>
        <w:rPr>
          <w:rFonts w:hint="eastAsia"/>
          <w:sz w:val="24"/>
        </w:rPr>
        <w:t>（四）采取不正当手段诋毁、排挤其他供应商，故意以虚构事实等方式进行投诉的。</w:t>
      </w:r>
    </w:p>
    <w:p w14:paraId="52202850">
      <w:pPr>
        <w:widowControl/>
        <w:ind w:firstLine="498" w:firstLineChars="200"/>
        <w:rPr>
          <w:sz w:val="24"/>
        </w:rPr>
      </w:pPr>
      <w:r>
        <w:rPr>
          <w:rFonts w:hint="eastAsia"/>
          <w:sz w:val="24"/>
        </w:rPr>
        <w:t>（五）拒不按规定交纳保证金的。</w:t>
      </w:r>
    </w:p>
    <w:p w14:paraId="6D0516F9">
      <w:pPr>
        <w:widowControl/>
        <w:ind w:firstLine="498" w:firstLineChars="200"/>
        <w:rPr>
          <w:sz w:val="24"/>
        </w:rPr>
      </w:pPr>
      <w:r>
        <w:rPr>
          <w:rFonts w:hint="eastAsia"/>
          <w:sz w:val="24"/>
        </w:rPr>
        <w:t>（六）弄虚作假，虚报资质业绩或以其它欺诈方式骗取中标或成交的。</w:t>
      </w:r>
    </w:p>
    <w:p w14:paraId="0DB09150">
      <w:pPr>
        <w:widowControl/>
        <w:ind w:firstLine="498" w:firstLineChars="200"/>
        <w:rPr>
          <w:sz w:val="24"/>
        </w:rPr>
      </w:pPr>
      <w:r>
        <w:rPr>
          <w:rFonts w:hint="eastAsia"/>
          <w:sz w:val="24"/>
        </w:rPr>
        <w:t>（七）在签订合同时提出无理的附加条件或擅自更改合同实质性内容的。</w:t>
      </w:r>
    </w:p>
    <w:p w14:paraId="6A357CBF">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C170903">
      <w:pPr>
        <w:widowControl/>
        <w:ind w:firstLine="498" w:firstLineChars="200"/>
        <w:rPr>
          <w:sz w:val="24"/>
        </w:rPr>
      </w:pPr>
      <w:r>
        <w:rPr>
          <w:rFonts w:hint="eastAsia"/>
          <w:sz w:val="24"/>
        </w:rPr>
        <w:t>（一）给医院工作人员赠送“红包”、回扣等，导致医院相关工作人员被司法机关认定为职务犯罪的。</w:t>
      </w:r>
    </w:p>
    <w:p w14:paraId="3025DB4A">
      <w:pPr>
        <w:widowControl/>
        <w:ind w:firstLine="498" w:firstLineChars="200"/>
        <w:rPr>
          <w:sz w:val="24"/>
        </w:rPr>
      </w:pPr>
      <w:r>
        <w:rPr>
          <w:rFonts w:hint="eastAsia"/>
          <w:sz w:val="24"/>
        </w:rPr>
        <w:t>（二）对医院工作人员进行恐吓、威胁或组织、参与在医院诊疗及办公区域进行群体性聚集的。</w:t>
      </w:r>
    </w:p>
    <w:p w14:paraId="5FA370B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E97BC37">
      <w:pPr>
        <w:widowControl/>
        <w:ind w:firstLine="498" w:firstLineChars="200"/>
        <w:rPr>
          <w:sz w:val="24"/>
        </w:rPr>
      </w:pPr>
      <w:r>
        <w:rPr>
          <w:rFonts w:hint="eastAsia"/>
          <w:sz w:val="24"/>
        </w:rPr>
        <w:t>（四）发生重特大质量、安全事故，给医院或患者造成较大经济损失的（直接损失10万元以上，含10万元）。</w:t>
      </w:r>
    </w:p>
    <w:p w14:paraId="7BDEF096">
      <w:pPr>
        <w:widowControl/>
        <w:ind w:firstLine="498" w:firstLineChars="200"/>
        <w:rPr>
          <w:sz w:val="24"/>
        </w:rPr>
      </w:pPr>
      <w:r>
        <w:rPr>
          <w:rFonts w:hint="eastAsia"/>
          <w:sz w:val="24"/>
        </w:rPr>
        <w:t>（五）拒不接受医院监督的。</w:t>
      </w:r>
    </w:p>
    <w:p w14:paraId="4EE233A7">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CA9812E">
      <w:pPr>
        <w:widowControl/>
        <w:jc w:val="center"/>
        <w:rPr>
          <w:b/>
          <w:bCs/>
          <w:sz w:val="28"/>
          <w:szCs w:val="28"/>
        </w:rPr>
      </w:pPr>
      <w:r>
        <w:rPr>
          <w:rFonts w:hint="eastAsia"/>
          <w:b/>
          <w:bCs/>
          <w:sz w:val="28"/>
          <w:szCs w:val="28"/>
        </w:rPr>
        <w:t>第五章 附则</w:t>
      </w:r>
    </w:p>
    <w:p w14:paraId="73950BAC">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968831D">
      <w:pPr>
        <w:widowControl/>
        <w:ind w:firstLine="498" w:firstLineChars="200"/>
        <w:rPr>
          <w:sz w:val="24"/>
        </w:rPr>
      </w:pPr>
      <w:r>
        <w:rPr>
          <w:rFonts w:hint="eastAsia"/>
          <w:b/>
          <w:bCs/>
          <w:sz w:val="24"/>
        </w:rPr>
        <w:t>第十三条</w:t>
      </w:r>
      <w:r>
        <w:rPr>
          <w:rFonts w:hint="eastAsia"/>
          <w:sz w:val="24"/>
        </w:rPr>
        <w:t xml:space="preserve"> 本办法自印发之日起施行。</w:t>
      </w:r>
    </w:p>
    <w:p w14:paraId="6BC9D001">
      <w:pPr>
        <w:spacing w:before="240" w:after="60" w:line="312" w:lineRule="auto"/>
        <w:jc w:val="center"/>
        <w:outlineLvl w:val="1"/>
        <w:rPr>
          <w:rFonts w:ascii="Cambria" w:hAnsi="Cambria"/>
          <w:b/>
          <w:bCs/>
          <w:kern w:val="28"/>
          <w:sz w:val="32"/>
          <w:szCs w:val="32"/>
        </w:rPr>
      </w:pPr>
    </w:p>
    <w:p w14:paraId="78F83D1B">
      <w:pPr>
        <w:widowControl/>
        <w:jc w:val="left"/>
        <w:rPr>
          <w:rFonts w:cs="宋体" w:asciiTheme="minorEastAsia" w:hAnsiTheme="minorEastAsia" w:eastAsiaTheme="minorEastAsia"/>
          <w:sz w:val="24"/>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7EAC6073"/>
    <w:multiLevelType w:val="singleLevel"/>
    <w:tmpl w:val="7EAC6073"/>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6899"/>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3803"/>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DE3"/>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47E56"/>
    <w:rsid w:val="0176295D"/>
    <w:rsid w:val="01891DA9"/>
    <w:rsid w:val="018D6267"/>
    <w:rsid w:val="018F3C16"/>
    <w:rsid w:val="01B42DE3"/>
    <w:rsid w:val="02284BE0"/>
    <w:rsid w:val="02587777"/>
    <w:rsid w:val="02E66B31"/>
    <w:rsid w:val="02EF4BC8"/>
    <w:rsid w:val="03086AA8"/>
    <w:rsid w:val="03422543"/>
    <w:rsid w:val="036B5CE3"/>
    <w:rsid w:val="039B5B6E"/>
    <w:rsid w:val="03C375BE"/>
    <w:rsid w:val="03CC5D27"/>
    <w:rsid w:val="03D80399"/>
    <w:rsid w:val="04082AD7"/>
    <w:rsid w:val="043263EE"/>
    <w:rsid w:val="04506958"/>
    <w:rsid w:val="045521C0"/>
    <w:rsid w:val="045D4FD9"/>
    <w:rsid w:val="04A70542"/>
    <w:rsid w:val="04B877EB"/>
    <w:rsid w:val="04FA4B16"/>
    <w:rsid w:val="051C6CC9"/>
    <w:rsid w:val="056326BB"/>
    <w:rsid w:val="059C6184"/>
    <w:rsid w:val="05BE1FE7"/>
    <w:rsid w:val="05FE0636"/>
    <w:rsid w:val="060F2797"/>
    <w:rsid w:val="064029FC"/>
    <w:rsid w:val="06735060"/>
    <w:rsid w:val="06A905A2"/>
    <w:rsid w:val="06BF1B73"/>
    <w:rsid w:val="06D849E3"/>
    <w:rsid w:val="06E15F8D"/>
    <w:rsid w:val="0708176C"/>
    <w:rsid w:val="07131EBF"/>
    <w:rsid w:val="071D689A"/>
    <w:rsid w:val="076731A8"/>
    <w:rsid w:val="077010BF"/>
    <w:rsid w:val="07730E6D"/>
    <w:rsid w:val="07B611C8"/>
    <w:rsid w:val="07CB47D0"/>
    <w:rsid w:val="07D433FC"/>
    <w:rsid w:val="07F615C4"/>
    <w:rsid w:val="08102EE2"/>
    <w:rsid w:val="0817778D"/>
    <w:rsid w:val="08541337"/>
    <w:rsid w:val="08585DDB"/>
    <w:rsid w:val="08AE00F1"/>
    <w:rsid w:val="08C43471"/>
    <w:rsid w:val="08F24482"/>
    <w:rsid w:val="08F473D8"/>
    <w:rsid w:val="08FD7AD1"/>
    <w:rsid w:val="08FE069E"/>
    <w:rsid w:val="090B33C3"/>
    <w:rsid w:val="09287EA3"/>
    <w:rsid w:val="0939513F"/>
    <w:rsid w:val="094F50F3"/>
    <w:rsid w:val="096864F2"/>
    <w:rsid w:val="096D3B08"/>
    <w:rsid w:val="09A6701A"/>
    <w:rsid w:val="09A80AB8"/>
    <w:rsid w:val="09B3404C"/>
    <w:rsid w:val="09CF031F"/>
    <w:rsid w:val="09E638BB"/>
    <w:rsid w:val="09FF56F4"/>
    <w:rsid w:val="0A2329D1"/>
    <w:rsid w:val="0A334D52"/>
    <w:rsid w:val="0A4F1460"/>
    <w:rsid w:val="0A683A0F"/>
    <w:rsid w:val="0A821835"/>
    <w:rsid w:val="0A84735B"/>
    <w:rsid w:val="0AA87545"/>
    <w:rsid w:val="0AAF6B71"/>
    <w:rsid w:val="0B116715"/>
    <w:rsid w:val="0B226B74"/>
    <w:rsid w:val="0B3A2110"/>
    <w:rsid w:val="0B4D1E43"/>
    <w:rsid w:val="0B4D39A7"/>
    <w:rsid w:val="0B7C44D7"/>
    <w:rsid w:val="0B8A2800"/>
    <w:rsid w:val="0BAB5864"/>
    <w:rsid w:val="0BBE064B"/>
    <w:rsid w:val="0BBF2615"/>
    <w:rsid w:val="0C0544CC"/>
    <w:rsid w:val="0C2506CA"/>
    <w:rsid w:val="0CA710DF"/>
    <w:rsid w:val="0CAC4948"/>
    <w:rsid w:val="0CBF0B1F"/>
    <w:rsid w:val="0D735DB7"/>
    <w:rsid w:val="0E0802A4"/>
    <w:rsid w:val="0E2D3866"/>
    <w:rsid w:val="0E5851FF"/>
    <w:rsid w:val="0E5928AD"/>
    <w:rsid w:val="0E7616B1"/>
    <w:rsid w:val="0E925DBF"/>
    <w:rsid w:val="0EBE4E06"/>
    <w:rsid w:val="0EC248F6"/>
    <w:rsid w:val="0F225395"/>
    <w:rsid w:val="0F3155D8"/>
    <w:rsid w:val="0F3F7CF5"/>
    <w:rsid w:val="0F4E618A"/>
    <w:rsid w:val="0FB82D70"/>
    <w:rsid w:val="0FD53D27"/>
    <w:rsid w:val="0FD763B0"/>
    <w:rsid w:val="0FDE750E"/>
    <w:rsid w:val="104F3F68"/>
    <w:rsid w:val="10727C56"/>
    <w:rsid w:val="10B97633"/>
    <w:rsid w:val="10E2302E"/>
    <w:rsid w:val="10E32514"/>
    <w:rsid w:val="10EA0134"/>
    <w:rsid w:val="10EC7A09"/>
    <w:rsid w:val="1111746F"/>
    <w:rsid w:val="111548C2"/>
    <w:rsid w:val="11207428"/>
    <w:rsid w:val="113D64B6"/>
    <w:rsid w:val="11437E33"/>
    <w:rsid w:val="11494E5B"/>
    <w:rsid w:val="11C73FD2"/>
    <w:rsid w:val="11CA2B5B"/>
    <w:rsid w:val="122D02D9"/>
    <w:rsid w:val="127B4EDD"/>
    <w:rsid w:val="128C5A5B"/>
    <w:rsid w:val="12AB0B92"/>
    <w:rsid w:val="12B26A30"/>
    <w:rsid w:val="12CA302D"/>
    <w:rsid w:val="12CD73C6"/>
    <w:rsid w:val="12FE7EC7"/>
    <w:rsid w:val="13345697"/>
    <w:rsid w:val="133974DC"/>
    <w:rsid w:val="137361BF"/>
    <w:rsid w:val="138D37EE"/>
    <w:rsid w:val="139F6D01"/>
    <w:rsid w:val="13BB36C2"/>
    <w:rsid w:val="13BD568C"/>
    <w:rsid w:val="14005579"/>
    <w:rsid w:val="14221993"/>
    <w:rsid w:val="14432035"/>
    <w:rsid w:val="147E3FD5"/>
    <w:rsid w:val="14A14FAE"/>
    <w:rsid w:val="14CE3549"/>
    <w:rsid w:val="14D94748"/>
    <w:rsid w:val="14E24037"/>
    <w:rsid w:val="150A2B53"/>
    <w:rsid w:val="150D2643"/>
    <w:rsid w:val="150F0169"/>
    <w:rsid w:val="151B2A92"/>
    <w:rsid w:val="15325C06"/>
    <w:rsid w:val="153848C3"/>
    <w:rsid w:val="154B17F0"/>
    <w:rsid w:val="157B75AD"/>
    <w:rsid w:val="158741A4"/>
    <w:rsid w:val="158F12AA"/>
    <w:rsid w:val="15A25A23"/>
    <w:rsid w:val="16277BF7"/>
    <w:rsid w:val="164756E1"/>
    <w:rsid w:val="164E610E"/>
    <w:rsid w:val="16775A33"/>
    <w:rsid w:val="16AE5760"/>
    <w:rsid w:val="16B20605"/>
    <w:rsid w:val="17410382"/>
    <w:rsid w:val="17575DF8"/>
    <w:rsid w:val="17662E4D"/>
    <w:rsid w:val="179130E9"/>
    <w:rsid w:val="17B1375A"/>
    <w:rsid w:val="17F43647"/>
    <w:rsid w:val="18117D55"/>
    <w:rsid w:val="18510A99"/>
    <w:rsid w:val="188E3A9B"/>
    <w:rsid w:val="189F7A56"/>
    <w:rsid w:val="18A54131"/>
    <w:rsid w:val="18B74DA0"/>
    <w:rsid w:val="18C346AE"/>
    <w:rsid w:val="18E244B4"/>
    <w:rsid w:val="1908384E"/>
    <w:rsid w:val="192778DE"/>
    <w:rsid w:val="19375EE1"/>
    <w:rsid w:val="19436634"/>
    <w:rsid w:val="19806498"/>
    <w:rsid w:val="19A370D2"/>
    <w:rsid w:val="19AC41D9"/>
    <w:rsid w:val="19D83220"/>
    <w:rsid w:val="19E70DE5"/>
    <w:rsid w:val="1A057D8D"/>
    <w:rsid w:val="1A1678A4"/>
    <w:rsid w:val="1A1C62CD"/>
    <w:rsid w:val="1A266968"/>
    <w:rsid w:val="1A2E1092"/>
    <w:rsid w:val="1A3725D0"/>
    <w:rsid w:val="1A475CB0"/>
    <w:rsid w:val="1A613215"/>
    <w:rsid w:val="1A8847F3"/>
    <w:rsid w:val="1A9B129F"/>
    <w:rsid w:val="1AA52BA9"/>
    <w:rsid w:val="1AA650CC"/>
    <w:rsid w:val="1ABC1322"/>
    <w:rsid w:val="1ABC74D4"/>
    <w:rsid w:val="1AED167A"/>
    <w:rsid w:val="1B10273C"/>
    <w:rsid w:val="1B59326E"/>
    <w:rsid w:val="1B943177"/>
    <w:rsid w:val="1BAA0BEC"/>
    <w:rsid w:val="1BB04D0E"/>
    <w:rsid w:val="1BC36CC7"/>
    <w:rsid w:val="1BD619E1"/>
    <w:rsid w:val="1BE72051"/>
    <w:rsid w:val="1C1E6EE4"/>
    <w:rsid w:val="1C32512B"/>
    <w:rsid w:val="1C4759E2"/>
    <w:rsid w:val="1C6012AB"/>
    <w:rsid w:val="1C6B75FB"/>
    <w:rsid w:val="1C8C6544"/>
    <w:rsid w:val="1C9B58AF"/>
    <w:rsid w:val="1CBB1B1D"/>
    <w:rsid w:val="1CC730D8"/>
    <w:rsid w:val="1CF00880"/>
    <w:rsid w:val="1D01483C"/>
    <w:rsid w:val="1D137A9E"/>
    <w:rsid w:val="1D27191A"/>
    <w:rsid w:val="1D3E188D"/>
    <w:rsid w:val="1D4D2860"/>
    <w:rsid w:val="1D5232E9"/>
    <w:rsid w:val="1D761663"/>
    <w:rsid w:val="1DE8432D"/>
    <w:rsid w:val="1DEC1A26"/>
    <w:rsid w:val="1DFE521F"/>
    <w:rsid w:val="1DFF7AD1"/>
    <w:rsid w:val="1E3173A3"/>
    <w:rsid w:val="1E4F7829"/>
    <w:rsid w:val="1E592455"/>
    <w:rsid w:val="1E62130A"/>
    <w:rsid w:val="1E6E00F8"/>
    <w:rsid w:val="1E91399D"/>
    <w:rsid w:val="1E9A0BE8"/>
    <w:rsid w:val="1EA336D1"/>
    <w:rsid w:val="1EA33F14"/>
    <w:rsid w:val="1EBF49AE"/>
    <w:rsid w:val="1F036681"/>
    <w:rsid w:val="1F1F116E"/>
    <w:rsid w:val="1F49071C"/>
    <w:rsid w:val="1F67168E"/>
    <w:rsid w:val="1F737547"/>
    <w:rsid w:val="1F9A2D26"/>
    <w:rsid w:val="1FC61D6D"/>
    <w:rsid w:val="1FE8583F"/>
    <w:rsid w:val="20014B53"/>
    <w:rsid w:val="200C3C23"/>
    <w:rsid w:val="202D5948"/>
    <w:rsid w:val="203B0327"/>
    <w:rsid w:val="20436F19"/>
    <w:rsid w:val="20484530"/>
    <w:rsid w:val="20796DDF"/>
    <w:rsid w:val="20910269"/>
    <w:rsid w:val="20B90CD6"/>
    <w:rsid w:val="20C4005A"/>
    <w:rsid w:val="210219E5"/>
    <w:rsid w:val="21090177"/>
    <w:rsid w:val="21134B3E"/>
    <w:rsid w:val="21166835"/>
    <w:rsid w:val="218C0071"/>
    <w:rsid w:val="21A12149"/>
    <w:rsid w:val="21C61BB0"/>
    <w:rsid w:val="21C67E02"/>
    <w:rsid w:val="220D5A31"/>
    <w:rsid w:val="22117EC4"/>
    <w:rsid w:val="226D64CF"/>
    <w:rsid w:val="22824E3E"/>
    <w:rsid w:val="237A70F6"/>
    <w:rsid w:val="240A66CC"/>
    <w:rsid w:val="24466FD8"/>
    <w:rsid w:val="249F5B1A"/>
    <w:rsid w:val="24BB36A8"/>
    <w:rsid w:val="24C148B0"/>
    <w:rsid w:val="24C30629"/>
    <w:rsid w:val="24C820E3"/>
    <w:rsid w:val="24DB3BC4"/>
    <w:rsid w:val="250B6931"/>
    <w:rsid w:val="25230F0E"/>
    <w:rsid w:val="2575482C"/>
    <w:rsid w:val="25906293"/>
    <w:rsid w:val="259A3A7F"/>
    <w:rsid w:val="259F1096"/>
    <w:rsid w:val="25B85CB3"/>
    <w:rsid w:val="2604539D"/>
    <w:rsid w:val="26494FB8"/>
    <w:rsid w:val="264D6D44"/>
    <w:rsid w:val="267B7FC8"/>
    <w:rsid w:val="26FD2518"/>
    <w:rsid w:val="270C275B"/>
    <w:rsid w:val="27475541"/>
    <w:rsid w:val="27764078"/>
    <w:rsid w:val="277B51EB"/>
    <w:rsid w:val="278E5DAE"/>
    <w:rsid w:val="27AB1F74"/>
    <w:rsid w:val="27B27166"/>
    <w:rsid w:val="27FA0805"/>
    <w:rsid w:val="28302479"/>
    <w:rsid w:val="283A32F8"/>
    <w:rsid w:val="284F20CB"/>
    <w:rsid w:val="28665E9B"/>
    <w:rsid w:val="286F52BD"/>
    <w:rsid w:val="289C366A"/>
    <w:rsid w:val="289F315B"/>
    <w:rsid w:val="28C3509B"/>
    <w:rsid w:val="28D21782"/>
    <w:rsid w:val="28E219C5"/>
    <w:rsid w:val="28F2674A"/>
    <w:rsid w:val="28F501AA"/>
    <w:rsid w:val="2916166F"/>
    <w:rsid w:val="291C61B9"/>
    <w:rsid w:val="29564161"/>
    <w:rsid w:val="29625210"/>
    <w:rsid w:val="29657F00"/>
    <w:rsid w:val="29925C04"/>
    <w:rsid w:val="29995A6B"/>
    <w:rsid w:val="29E4176D"/>
    <w:rsid w:val="29F85218"/>
    <w:rsid w:val="2A8D43F6"/>
    <w:rsid w:val="2AA1140C"/>
    <w:rsid w:val="2AC1385C"/>
    <w:rsid w:val="2AD629C3"/>
    <w:rsid w:val="2B560448"/>
    <w:rsid w:val="2BC8724E"/>
    <w:rsid w:val="2BE31C66"/>
    <w:rsid w:val="2C196C94"/>
    <w:rsid w:val="2C2916B9"/>
    <w:rsid w:val="2C2A3EE0"/>
    <w:rsid w:val="2C471B3F"/>
    <w:rsid w:val="2C4C53A8"/>
    <w:rsid w:val="2C585898"/>
    <w:rsid w:val="2C815890"/>
    <w:rsid w:val="2C904172"/>
    <w:rsid w:val="2C9756FA"/>
    <w:rsid w:val="2CA174A1"/>
    <w:rsid w:val="2CC92FC1"/>
    <w:rsid w:val="2CE50742"/>
    <w:rsid w:val="2CED381A"/>
    <w:rsid w:val="2D877C51"/>
    <w:rsid w:val="2DA134D1"/>
    <w:rsid w:val="2DEA131C"/>
    <w:rsid w:val="2E1A39E0"/>
    <w:rsid w:val="2E1F376F"/>
    <w:rsid w:val="2E345E70"/>
    <w:rsid w:val="2E70173F"/>
    <w:rsid w:val="2EAC037F"/>
    <w:rsid w:val="2EDE572C"/>
    <w:rsid w:val="2EFC1307"/>
    <w:rsid w:val="2F05640D"/>
    <w:rsid w:val="2F61560E"/>
    <w:rsid w:val="2F6D2902"/>
    <w:rsid w:val="2F6F3887"/>
    <w:rsid w:val="2F8135BA"/>
    <w:rsid w:val="2F9100A2"/>
    <w:rsid w:val="2FA63021"/>
    <w:rsid w:val="2FAD2601"/>
    <w:rsid w:val="2FAF2808"/>
    <w:rsid w:val="2FD162F0"/>
    <w:rsid w:val="2FDB716E"/>
    <w:rsid w:val="2FFA3A98"/>
    <w:rsid w:val="30420F9B"/>
    <w:rsid w:val="304E470D"/>
    <w:rsid w:val="305F7D9F"/>
    <w:rsid w:val="309F019C"/>
    <w:rsid w:val="30D20571"/>
    <w:rsid w:val="30DA7426"/>
    <w:rsid w:val="31020493"/>
    <w:rsid w:val="3106021B"/>
    <w:rsid w:val="31350B00"/>
    <w:rsid w:val="31443613"/>
    <w:rsid w:val="31A4747B"/>
    <w:rsid w:val="31C53C32"/>
    <w:rsid w:val="31F75DB5"/>
    <w:rsid w:val="322D79E1"/>
    <w:rsid w:val="323D7C6C"/>
    <w:rsid w:val="324F174E"/>
    <w:rsid w:val="327D275F"/>
    <w:rsid w:val="32867865"/>
    <w:rsid w:val="328A6C2A"/>
    <w:rsid w:val="32A61CB5"/>
    <w:rsid w:val="32D36347"/>
    <w:rsid w:val="32DB4AF1"/>
    <w:rsid w:val="32DD503E"/>
    <w:rsid w:val="33044C2E"/>
    <w:rsid w:val="331C5AD4"/>
    <w:rsid w:val="3329646A"/>
    <w:rsid w:val="33582884"/>
    <w:rsid w:val="33680E43"/>
    <w:rsid w:val="336D6D80"/>
    <w:rsid w:val="336E20A7"/>
    <w:rsid w:val="339A5D2A"/>
    <w:rsid w:val="33B71CA0"/>
    <w:rsid w:val="33D22636"/>
    <w:rsid w:val="33D75E9F"/>
    <w:rsid w:val="34240DF7"/>
    <w:rsid w:val="34337579"/>
    <w:rsid w:val="346C4839"/>
    <w:rsid w:val="34930017"/>
    <w:rsid w:val="34BD6E42"/>
    <w:rsid w:val="35325A82"/>
    <w:rsid w:val="353C245D"/>
    <w:rsid w:val="355552CD"/>
    <w:rsid w:val="35812566"/>
    <w:rsid w:val="358F7E26"/>
    <w:rsid w:val="35A40002"/>
    <w:rsid w:val="35DA54E6"/>
    <w:rsid w:val="35F95447"/>
    <w:rsid w:val="36251143"/>
    <w:rsid w:val="36370E76"/>
    <w:rsid w:val="36625EF3"/>
    <w:rsid w:val="366F0383"/>
    <w:rsid w:val="36C50230"/>
    <w:rsid w:val="36F86858"/>
    <w:rsid w:val="371116C7"/>
    <w:rsid w:val="37166CDE"/>
    <w:rsid w:val="37176A6D"/>
    <w:rsid w:val="372C4753"/>
    <w:rsid w:val="37757EA8"/>
    <w:rsid w:val="37865C12"/>
    <w:rsid w:val="37B7401D"/>
    <w:rsid w:val="37C9575B"/>
    <w:rsid w:val="38290EB5"/>
    <w:rsid w:val="38376F0C"/>
    <w:rsid w:val="386720AE"/>
    <w:rsid w:val="3874162B"/>
    <w:rsid w:val="38A1315E"/>
    <w:rsid w:val="38B844F1"/>
    <w:rsid w:val="38BE13DB"/>
    <w:rsid w:val="38F1355F"/>
    <w:rsid w:val="38FA4E23"/>
    <w:rsid w:val="395F2BBE"/>
    <w:rsid w:val="39620DCE"/>
    <w:rsid w:val="396B0C05"/>
    <w:rsid w:val="39B50A30"/>
    <w:rsid w:val="39CE78FF"/>
    <w:rsid w:val="3A14750C"/>
    <w:rsid w:val="3A463FA8"/>
    <w:rsid w:val="3A797CAF"/>
    <w:rsid w:val="3A95616C"/>
    <w:rsid w:val="3AB46F3A"/>
    <w:rsid w:val="3AEDC156"/>
    <w:rsid w:val="3AF602B9"/>
    <w:rsid w:val="3B0357CB"/>
    <w:rsid w:val="3B146AFA"/>
    <w:rsid w:val="3BC431AC"/>
    <w:rsid w:val="3BF375EE"/>
    <w:rsid w:val="3C3D48E0"/>
    <w:rsid w:val="3CA75736"/>
    <w:rsid w:val="3CC33464"/>
    <w:rsid w:val="3CD36B7B"/>
    <w:rsid w:val="3CEE66BB"/>
    <w:rsid w:val="3CEF6007"/>
    <w:rsid w:val="3D2A703F"/>
    <w:rsid w:val="3D2B1073"/>
    <w:rsid w:val="3D3659E4"/>
    <w:rsid w:val="3D567E34"/>
    <w:rsid w:val="3D925F99"/>
    <w:rsid w:val="3D9B7F3D"/>
    <w:rsid w:val="3DA32482"/>
    <w:rsid w:val="3DBA6615"/>
    <w:rsid w:val="3DDE0CAE"/>
    <w:rsid w:val="3E571F86"/>
    <w:rsid w:val="3E5B6D21"/>
    <w:rsid w:val="3E895FE7"/>
    <w:rsid w:val="3E9B4698"/>
    <w:rsid w:val="3EA82911"/>
    <w:rsid w:val="3EB219E2"/>
    <w:rsid w:val="3F122481"/>
    <w:rsid w:val="3F1D32FF"/>
    <w:rsid w:val="3F4967D2"/>
    <w:rsid w:val="3F7766BA"/>
    <w:rsid w:val="3F8F680D"/>
    <w:rsid w:val="3FE83F56"/>
    <w:rsid w:val="3FF43934"/>
    <w:rsid w:val="405D2BB1"/>
    <w:rsid w:val="40752CC7"/>
    <w:rsid w:val="40786313"/>
    <w:rsid w:val="407A02DD"/>
    <w:rsid w:val="409C6C06"/>
    <w:rsid w:val="40D20119"/>
    <w:rsid w:val="41213104"/>
    <w:rsid w:val="41FB0124"/>
    <w:rsid w:val="41FF4F3E"/>
    <w:rsid w:val="420C765B"/>
    <w:rsid w:val="422C1AAB"/>
    <w:rsid w:val="42332E3A"/>
    <w:rsid w:val="423A7D24"/>
    <w:rsid w:val="424A19F9"/>
    <w:rsid w:val="42905B96"/>
    <w:rsid w:val="42965036"/>
    <w:rsid w:val="429733C9"/>
    <w:rsid w:val="42A136C8"/>
    <w:rsid w:val="42C65A5C"/>
    <w:rsid w:val="42C6780A"/>
    <w:rsid w:val="42F0276F"/>
    <w:rsid w:val="43346E69"/>
    <w:rsid w:val="43385DE0"/>
    <w:rsid w:val="434A65F1"/>
    <w:rsid w:val="435A7F52"/>
    <w:rsid w:val="43882D11"/>
    <w:rsid w:val="43B41D58"/>
    <w:rsid w:val="43BF343C"/>
    <w:rsid w:val="441427F7"/>
    <w:rsid w:val="441F2254"/>
    <w:rsid w:val="44517458"/>
    <w:rsid w:val="44872FC9"/>
    <w:rsid w:val="44C83E09"/>
    <w:rsid w:val="44D73F50"/>
    <w:rsid w:val="45085EB8"/>
    <w:rsid w:val="450B1E4C"/>
    <w:rsid w:val="45442C68"/>
    <w:rsid w:val="45464C32"/>
    <w:rsid w:val="456D6663"/>
    <w:rsid w:val="45713F3C"/>
    <w:rsid w:val="4597548E"/>
    <w:rsid w:val="45C51FFB"/>
    <w:rsid w:val="45D1274E"/>
    <w:rsid w:val="45EE77A4"/>
    <w:rsid w:val="46054AED"/>
    <w:rsid w:val="462907DC"/>
    <w:rsid w:val="466153D1"/>
    <w:rsid w:val="466F6861"/>
    <w:rsid w:val="46AC31BB"/>
    <w:rsid w:val="46E332A0"/>
    <w:rsid w:val="46F030A7"/>
    <w:rsid w:val="472D42FC"/>
    <w:rsid w:val="4760647F"/>
    <w:rsid w:val="476A2E5A"/>
    <w:rsid w:val="477E06B3"/>
    <w:rsid w:val="4784106F"/>
    <w:rsid w:val="47975C19"/>
    <w:rsid w:val="47AF4D11"/>
    <w:rsid w:val="47B73BC5"/>
    <w:rsid w:val="47C47C58"/>
    <w:rsid w:val="47D46525"/>
    <w:rsid w:val="482F6C84"/>
    <w:rsid w:val="4898194F"/>
    <w:rsid w:val="48A71E8C"/>
    <w:rsid w:val="48E076C9"/>
    <w:rsid w:val="48FB5D34"/>
    <w:rsid w:val="4950330D"/>
    <w:rsid w:val="4A0E0C47"/>
    <w:rsid w:val="4A4F27DB"/>
    <w:rsid w:val="4AA06B93"/>
    <w:rsid w:val="4AA308BA"/>
    <w:rsid w:val="4AC1569A"/>
    <w:rsid w:val="4B1650A7"/>
    <w:rsid w:val="4B241572"/>
    <w:rsid w:val="4B2C48CA"/>
    <w:rsid w:val="4B3C2D5F"/>
    <w:rsid w:val="4B440486"/>
    <w:rsid w:val="4B6F6A11"/>
    <w:rsid w:val="4BBD2646"/>
    <w:rsid w:val="4BBE3774"/>
    <w:rsid w:val="4BD5013B"/>
    <w:rsid w:val="4BEA4569"/>
    <w:rsid w:val="4BF2341E"/>
    <w:rsid w:val="4BFC429C"/>
    <w:rsid w:val="4C251A45"/>
    <w:rsid w:val="4C5D7AEC"/>
    <w:rsid w:val="4C79503E"/>
    <w:rsid w:val="4CA50490"/>
    <w:rsid w:val="4CA566E2"/>
    <w:rsid w:val="4CBE1552"/>
    <w:rsid w:val="4CDB0637"/>
    <w:rsid w:val="4CDD40CE"/>
    <w:rsid w:val="4CDF1BF4"/>
    <w:rsid w:val="4CEA656D"/>
    <w:rsid w:val="4CF80F08"/>
    <w:rsid w:val="4D024936"/>
    <w:rsid w:val="4D0478AD"/>
    <w:rsid w:val="4D1B4BF6"/>
    <w:rsid w:val="4D224530"/>
    <w:rsid w:val="4D297313"/>
    <w:rsid w:val="4D2E2B7B"/>
    <w:rsid w:val="4D4D68B6"/>
    <w:rsid w:val="4D8E53C8"/>
    <w:rsid w:val="4DB017E2"/>
    <w:rsid w:val="4DD3727F"/>
    <w:rsid w:val="4DE374C2"/>
    <w:rsid w:val="4DF23692"/>
    <w:rsid w:val="4E0B4C6B"/>
    <w:rsid w:val="4E165AE9"/>
    <w:rsid w:val="4E1753BE"/>
    <w:rsid w:val="4E1C4782"/>
    <w:rsid w:val="4E1E499E"/>
    <w:rsid w:val="4E375A60"/>
    <w:rsid w:val="4E37780E"/>
    <w:rsid w:val="4E5008D0"/>
    <w:rsid w:val="4E666C9A"/>
    <w:rsid w:val="4E74636C"/>
    <w:rsid w:val="4E9609D8"/>
    <w:rsid w:val="4EA55F53"/>
    <w:rsid w:val="4EC62F60"/>
    <w:rsid w:val="4EF63225"/>
    <w:rsid w:val="4F23726B"/>
    <w:rsid w:val="4F4A37FE"/>
    <w:rsid w:val="4F5148FF"/>
    <w:rsid w:val="4F626B0C"/>
    <w:rsid w:val="4F686B3C"/>
    <w:rsid w:val="4F9D5F82"/>
    <w:rsid w:val="4FDC0EFB"/>
    <w:rsid w:val="4FF610E3"/>
    <w:rsid w:val="50131BB5"/>
    <w:rsid w:val="501F67AB"/>
    <w:rsid w:val="505428F9"/>
    <w:rsid w:val="50616DC4"/>
    <w:rsid w:val="50AA2519"/>
    <w:rsid w:val="50BD049E"/>
    <w:rsid w:val="50E377D9"/>
    <w:rsid w:val="51083291"/>
    <w:rsid w:val="510C6D30"/>
    <w:rsid w:val="512D6CA6"/>
    <w:rsid w:val="51383946"/>
    <w:rsid w:val="515A476D"/>
    <w:rsid w:val="51856BCB"/>
    <w:rsid w:val="51864D34"/>
    <w:rsid w:val="51A11136"/>
    <w:rsid w:val="51CB2747"/>
    <w:rsid w:val="51E657D3"/>
    <w:rsid w:val="520B4CA1"/>
    <w:rsid w:val="523D333C"/>
    <w:rsid w:val="524B7D2C"/>
    <w:rsid w:val="526B23B2"/>
    <w:rsid w:val="52A3386C"/>
    <w:rsid w:val="52D17F8D"/>
    <w:rsid w:val="52E743D2"/>
    <w:rsid w:val="52EA72D9"/>
    <w:rsid w:val="52F61A46"/>
    <w:rsid w:val="53043E75"/>
    <w:rsid w:val="53254B59"/>
    <w:rsid w:val="53426596"/>
    <w:rsid w:val="534D3630"/>
    <w:rsid w:val="53886AE8"/>
    <w:rsid w:val="538F1DEC"/>
    <w:rsid w:val="53B536AF"/>
    <w:rsid w:val="53E45085"/>
    <w:rsid w:val="541C78C1"/>
    <w:rsid w:val="54514779"/>
    <w:rsid w:val="54617393"/>
    <w:rsid w:val="54624EB9"/>
    <w:rsid w:val="546D5D37"/>
    <w:rsid w:val="54930B62"/>
    <w:rsid w:val="54B9689A"/>
    <w:rsid w:val="54CE74B0"/>
    <w:rsid w:val="54DC4C6B"/>
    <w:rsid w:val="54E67898"/>
    <w:rsid w:val="54ED50CA"/>
    <w:rsid w:val="55277E08"/>
    <w:rsid w:val="55306D65"/>
    <w:rsid w:val="5540344C"/>
    <w:rsid w:val="555667CB"/>
    <w:rsid w:val="556C17FC"/>
    <w:rsid w:val="55DF0EB7"/>
    <w:rsid w:val="55E22755"/>
    <w:rsid w:val="55EA1FEA"/>
    <w:rsid w:val="55F34962"/>
    <w:rsid w:val="55FF1B5A"/>
    <w:rsid w:val="56284E06"/>
    <w:rsid w:val="56332FB1"/>
    <w:rsid w:val="56570A4D"/>
    <w:rsid w:val="56665134"/>
    <w:rsid w:val="56913694"/>
    <w:rsid w:val="56982E14"/>
    <w:rsid w:val="56B85264"/>
    <w:rsid w:val="56C836F9"/>
    <w:rsid w:val="56EA204C"/>
    <w:rsid w:val="56F049FE"/>
    <w:rsid w:val="56F450C3"/>
    <w:rsid w:val="570F47BA"/>
    <w:rsid w:val="571C3A45"/>
    <w:rsid w:val="572172AD"/>
    <w:rsid w:val="576C7FEF"/>
    <w:rsid w:val="57824A0B"/>
    <w:rsid w:val="578A6C00"/>
    <w:rsid w:val="579E601C"/>
    <w:rsid w:val="57A21898"/>
    <w:rsid w:val="57A51D0D"/>
    <w:rsid w:val="57D367F9"/>
    <w:rsid w:val="57D92CF8"/>
    <w:rsid w:val="57DE6F4C"/>
    <w:rsid w:val="57F14ED1"/>
    <w:rsid w:val="580E15DF"/>
    <w:rsid w:val="5829466B"/>
    <w:rsid w:val="58507E4A"/>
    <w:rsid w:val="585F008D"/>
    <w:rsid w:val="58842049"/>
    <w:rsid w:val="58BC728D"/>
    <w:rsid w:val="58C97BB5"/>
    <w:rsid w:val="58CD3249"/>
    <w:rsid w:val="58D17563"/>
    <w:rsid w:val="58D72319"/>
    <w:rsid w:val="58E16CF4"/>
    <w:rsid w:val="59152139"/>
    <w:rsid w:val="592F776E"/>
    <w:rsid w:val="594E64F9"/>
    <w:rsid w:val="595C45CC"/>
    <w:rsid w:val="598E0AF0"/>
    <w:rsid w:val="59BF5730"/>
    <w:rsid w:val="59D16D68"/>
    <w:rsid w:val="59F459BC"/>
    <w:rsid w:val="5A7230A5"/>
    <w:rsid w:val="5A7D2A4C"/>
    <w:rsid w:val="5A9009D2"/>
    <w:rsid w:val="5AA75D1B"/>
    <w:rsid w:val="5AB71F3E"/>
    <w:rsid w:val="5B557525"/>
    <w:rsid w:val="5B6B6D49"/>
    <w:rsid w:val="5B770ED0"/>
    <w:rsid w:val="5B955B74"/>
    <w:rsid w:val="5BA31F63"/>
    <w:rsid w:val="5BEC1C38"/>
    <w:rsid w:val="5BFEF7AC"/>
    <w:rsid w:val="5C397A1F"/>
    <w:rsid w:val="5C3E585C"/>
    <w:rsid w:val="5CA7535F"/>
    <w:rsid w:val="5CF35248"/>
    <w:rsid w:val="5CF72BB7"/>
    <w:rsid w:val="5D121B72"/>
    <w:rsid w:val="5D131446"/>
    <w:rsid w:val="5D371947"/>
    <w:rsid w:val="5D7138C7"/>
    <w:rsid w:val="5D720862"/>
    <w:rsid w:val="5D75228F"/>
    <w:rsid w:val="5D8660BC"/>
    <w:rsid w:val="5D995DEF"/>
    <w:rsid w:val="5DB9489B"/>
    <w:rsid w:val="5DBC388C"/>
    <w:rsid w:val="5DC80482"/>
    <w:rsid w:val="5DCC7F73"/>
    <w:rsid w:val="5DCD59CD"/>
    <w:rsid w:val="5DD93833"/>
    <w:rsid w:val="5DE74DAC"/>
    <w:rsid w:val="5E59732C"/>
    <w:rsid w:val="5E5E3225"/>
    <w:rsid w:val="5E7A5C21"/>
    <w:rsid w:val="5F86690C"/>
    <w:rsid w:val="5F990328"/>
    <w:rsid w:val="5FAB1E0A"/>
    <w:rsid w:val="5FBA6BEB"/>
    <w:rsid w:val="5FDB0B3C"/>
    <w:rsid w:val="5FEB0458"/>
    <w:rsid w:val="5FF75ACB"/>
    <w:rsid w:val="60424013"/>
    <w:rsid w:val="607448F1"/>
    <w:rsid w:val="607A4639"/>
    <w:rsid w:val="608C1C3B"/>
    <w:rsid w:val="60AA20C1"/>
    <w:rsid w:val="60AB340C"/>
    <w:rsid w:val="60CC2038"/>
    <w:rsid w:val="60D27FCB"/>
    <w:rsid w:val="60E37E72"/>
    <w:rsid w:val="60E43825"/>
    <w:rsid w:val="61375A8C"/>
    <w:rsid w:val="613A51F3"/>
    <w:rsid w:val="61654E96"/>
    <w:rsid w:val="61792757"/>
    <w:rsid w:val="61811074"/>
    <w:rsid w:val="618B5A4F"/>
    <w:rsid w:val="61C7594C"/>
    <w:rsid w:val="61F77F57"/>
    <w:rsid w:val="621C2B4B"/>
    <w:rsid w:val="621E4B15"/>
    <w:rsid w:val="62285994"/>
    <w:rsid w:val="62562501"/>
    <w:rsid w:val="626D550B"/>
    <w:rsid w:val="62774225"/>
    <w:rsid w:val="62854B94"/>
    <w:rsid w:val="628726BA"/>
    <w:rsid w:val="62C169B9"/>
    <w:rsid w:val="62E573E1"/>
    <w:rsid w:val="62FD7890"/>
    <w:rsid w:val="63730E90"/>
    <w:rsid w:val="63870498"/>
    <w:rsid w:val="639339A5"/>
    <w:rsid w:val="63ED29F1"/>
    <w:rsid w:val="6412787B"/>
    <w:rsid w:val="64281C7B"/>
    <w:rsid w:val="643416C5"/>
    <w:rsid w:val="64432611"/>
    <w:rsid w:val="64706C98"/>
    <w:rsid w:val="647749B0"/>
    <w:rsid w:val="64964E36"/>
    <w:rsid w:val="64AA174D"/>
    <w:rsid w:val="64C32067"/>
    <w:rsid w:val="64CF0348"/>
    <w:rsid w:val="64F46001"/>
    <w:rsid w:val="64FD4EB5"/>
    <w:rsid w:val="65270184"/>
    <w:rsid w:val="652C7B26"/>
    <w:rsid w:val="653E5947"/>
    <w:rsid w:val="655820EC"/>
    <w:rsid w:val="658F4760"/>
    <w:rsid w:val="65A015DE"/>
    <w:rsid w:val="65A92D3E"/>
    <w:rsid w:val="65CB6D62"/>
    <w:rsid w:val="65D11E9E"/>
    <w:rsid w:val="65DF6369"/>
    <w:rsid w:val="66226C83"/>
    <w:rsid w:val="66434B4A"/>
    <w:rsid w:val="66495ED8"/>
    <w:rsid w:val="664D3C1B"/>
    <w:rsid w:val="6655487D"/>
    <w:rsid w:val="66AB0941"/>
    <w:rsid w:val="66AE21E0"/>
    <w:rsid w:val="66E135ED"/>
    <w:rsid w:val="6728109E"/>
    <w:rsid w:val="674A1F08"/>
    <w:rsid w:val="67825B46"/>
    <w:rsid w:val="67917B37"/>
    <w:rsid w:val="67955879"/>
    <w:rsid w:val="67E4235D"/>
    <w:rsid w:val="67FA336A"/>
    <w:rsid w:val="67FA56DC"/>
    <w:rsid w:val="68085627"/>
    <w:rsid w:val="68210EBB"/>
    <w:rsid w:val="684D7F02"/>
    <w:rsid w:val="68747657"/>
    <w:rsid w:val="688909D7"/>
    <w:rsid w:val="68A044D6"/>
    <w:rsid w:val="68A64CF8"/>
    <w:rsid w:val="68E34702"/>
    <w:rsid w:val="69012A9A"/>
    <w:rsid w:val="691B6B90"/>
    <w:rsid w:val="692549DB"/>
    <w:rsid w:val="694C640B"/>
    <w:rsid w:val="69562DE6"/>
    <w:rsid w:val="6A1231B1"/>
    <w:rsid w:val="6A29672D"/>
    <w:rsid w:val="6A58493C"/>
    <w:rsid w:val="6A61123F"/>
    <w:rsid w:val="6A6257BB"/>
    <w:rsid w:val="6A8F4802"/>
    <w:rsid w:val="6A9B19C7"/>
    <w:rsid w:val="6AA22F73"/>
    <w:rsid w:val="6AAF6C52"/>
    <w:rsid w:val="6AD40467"/>
    <w:rsid w:val="6AE0505D"/>
    <w:rsid w:val="6AFF7553"/>
    <w:rsid w:val="6B085319"/>
    <w:rsid w:val="6B1406EB"/>
    <w:rsid w:val="6B140CE2"/>
    <w:rsid w:val="6B217424"/>
    <w:rsid w:val="6B7457A6"/>
    <w:rsid w:val="6BB32772"/>
    <w:rsid w:val="6BBF8413"/>
    <w:rsid w:val="6BC02799"/>
    <w:rsid w:val="6BFA214F"/>
    <w:rsid w:val="6C1A00FB"/>
    <w:rsid w:val="6C360D67"/>
    <w:rsid w:val="6C621AA2"/>
    <w:rsid w:val="6C7D20A3"/>
    <w:rsid w:val="6C8718B9"/>
    <w:rsid w:val="6C954A79"/>
    <w:rsid w:val="6C9D36A1"/>
    <w:rsid w:val="6CB06CB1"/>
    <w:rsid w:val="6CC60283"/>
    <w:rsid w:val="6CDA3F74"/>
    <w:rsid w:val="6D1E40AF"/>
    <w:rsid w:val="6D2F407A"/>
    <w:rsid w:val="6D323B6A"/>
    <w:rsid w:val="6D3C6797"/>
    <w:rsid w:val="6D6531D5"/>
    <w:rsid w:val="6D851EEC"/>
    <w:rsid w:val="6D9E6B0A"/>
    <w:rsid w:val="6DDD7632"/>
    <w:rsid w:val="6E653E9D"/>
    <w:rsid w:val="6E7C32EF"/>
    <w:rsid w:val="6E87182B"/>
    <w:rsid w:val="6EB8009F"/>
    <w:rsid w:val="6F0765B1"/>
    <w:rsid w:val="6F185896"/>
    <w:rsid w:val="6F411E43"/>
    <w:rsid w:val="6F8561D3"/>
    <w:rsid w:val="6FCD1928"/>
    <w:rsid w:val="6FEA20BC"/>
    <w:rsid w:val="70435347"/>
    <w:rsid w:val="705C33D8"/>
    <w:rsid w:val="707003C5"/>
    <w:rsid w:val="70AE175A"/>
    <w:rsid w:val="70D62CDA"/>
    <w:rsid w:val="71094BE2"/>
    <w:rsid w:val="71124EA2"/>
    <w:rsid w:val="711315BD"/>
    <w:rsid w:val="711D383D"/>
    <w:rsid w:val="71325EE7"/>
    <w:rsid w:val="713F23B2"/>
    <w:rsid w:val="714B0D57"/>
    <w:rsid w:val="71A36DE5"/>
    <w:rsid w:val="71B52F37"/>
    <w:rsid w:val="71C34D91"/>
    <w:rsid w:val="71FFAC80"/>
    <w:rsid w:val="72556331"/>
    <w:rsid w:val="72897478"/>
    <w:rsid w:val="72B312A9"/>
    <w:rsid w:val="72BD340B"/>
    <w:rsid w:val="72D017D1"/>
    <w:rsid w:val="72FCB8DF"/>
    <w:rsid w:val="72FF629D"/>
    <w:rsid w:val="732E0930"/>
    <w:rsid w:val="73770529"/>
    <w:rsid w:val="73AE71FF"/>
    <w:rsid w:val="73CF5C6F"/>
    <w:rsid w:val="74161AF0"/>
    <w:rsid w:val="742064CB"/>
    <w:rsid w:val="742E1AE1"/>
    <w:rsid w:val="745A5CD0"/>
    <w:rsid w:val="750A2EE5"/>
    <w:rsid w:val="756D604F"/>
    <w:rsid w:val="757A4300"/>
    <w:rsid w:val="75C25924"/>
    <w:rsid w:val="75C4732A"/>
    <w:rsid w:val="75CD1995"/>
    <w:rsid w:val="75ED6880"/>
    <w:rsid w:val="76142ACC"/>
    <w:rsid w:val="763C5112"/>
    <w:rsid w:val="764D5571"/>
    <w:rsid w:val="76562678"/>
    <w:rsid w:val="767E572A"/>
    <w:rsid w:val="769136B0"/>
    <w:rsid w:val="769413F2"/>
    <w:rsid w:val="76B37ACA"/>
    <w:rsid w:val="76B4739E"/>
    <w:rsid w:val="76E01F41"/>
    <w:rsid w:val="771A08AA"/>
    <w:rsid w:val="775258B3"/>
    <w:rsid w:val="775B6F04"/>
    <w:rsid w:val="77811976"/>
    <w:rsid w:val="7791148D"/>
    <w:rsid w:val="779D0309"/>
    <w:rsid w:val="77B82236"/>
    <w:rsid w:val="77C1FF6C"/>
    <w:rsid w:val="77D156FF"/>
    <w:rsid w:val="77F57C6E"/>
    <w:rsid w:val="780E2ADE"/>
    <w:rsid w:val="784D7AAA"/>
    <w:rsid w:val="787A7655"/>
    <w:rsid w:val="787FD53F"/>
    <w:rsid w:val="78857244"/>
    <w:rsid w:val="78B45B14"/>
    <w:rsid w:val="78D02FBC"/>
    <w:rsid w:val="78EC72C3"/>
    <w:rsid w:val="791660EE"/>
    <w:rsid w:val="79407EB0"/>
    <w:rsid w:val="79690914"/>
    <w:rsid w:val="797177C8"/>
    <w:rsid w:val="798520DC"/>
    <w:rsid w:val="7989557F"/>
    <w:rsid w:val="79997E5C"/>
    <w:rsid w:val="79C8388C"/>
    <w:rsid w:val="79FB665C"/>
    <w:rsid w:val="7A00168D"/>
    <w:rsid w:val="7A124201"/>
    <w:rsid w:val="7A1B7E60"/>
    <w:rsid w:val="7A3C3932"/>
    <w:rsid w:val="7A520005"/>
    <w:rsid w:val="7A795784"/>
    <w:rsid w:val="7A9279F6"/>
    <w:rsid w:val="7AAB7433"/>
    <w:rsid w:val="7AC37C76"/>
    <w:rsid w:val="7B2A0F1E"/>
    <w:rsid w:val="7B3B1E3C"/>
    <w:rsid w:val="7B4F58E7"/>
    <w:rsid w:val="7B5077D7"/>
    <w:rsid w:val="7B726B08"/>
    <w:rsid w:val="7B803CF3"/>
    <w:rsid w:val="7B9B0B2D"/>
    <w:rsid w:val="7BB045D8"/>
    <w:rsid w:val="7BD80C01"/>
    <w:rsid w:val="7C0926D6"/>
    <w:rsid w:val="7C1F175E"/>
    <w:rsid w:val="7C3625E8"/>
    <w:rsid w:val="7C4D7D44"/>
    <w:rsid w:val="7C6B6751"/>
    <w:rsid w:val="7C830734"/>
    <w:rsid w:val="7C9C4B5C"/>
    <w:rsid w:val="7CAD0B17"/>
    <w:rsid w:val="7CCF5D02"/>
    <w:rsid w:val="7CD8550F"/>
    <w:rsid w:val="7CEC1640"/>
    <w:rsid w:val="7D0B5E36"/>
    <w:rsid w:val="7D2711FA"/>
    <w:rsid w:val="7D4266CA"/>
    <w:rsid w:val="7D5F62B6"/>
    <w:rsid w:val="7D7B5032"/>
    <w:rsid w:val="7D7E4262"/>
    <w:rsid w:val="7D971D53"/>
    <w:rsid w:val="7D97712E"/>
    <w:rsid w:val="7DAD3523"/>
    <w:rsid w:val="7DBA1C67"/>
    <w:rsid w:val="7DBD122E"/>
    <w:rsid w:val="7DC720AD"/>
    <w:rsid w:val="7DD7534C"/>
    <w:rsid w:val="7DF054E3"/>
    <w:rsid w:val="7DF17991"/>
    <w:rsid w:val="7E145689"/>
    <w:rsid w:val="7E154BC6"/>
    <w:rsid w:val="7E301A00"/>
    <w:rsid w:val="7E6F45DE"/>
    <w:rsid w:val="7EBE525E"/>
    <w:rsid w:val="7EDA351D"/>
    <w:rsid w:val="7EE57EAA"/>
    <w:rsid w:val="7EE84089"/>
    <w:rsid w:val="7EFC2C54"/>
    <w:rsid w:val="7F2F7F0A"/>
    <w:rsid w:val="7F4F44E6"/>
    <w:rsid w:val="7F5F395F"/>
    <w:rsid w:val="7F913875"/>
    <w:rsid w:val="7F9B5240"/>
    <w:rsid w:val="7F9D1317"/>
    <w:rsid w:val="7FA02BB5"/>
    <w:rsid w:val="7FA27079"/>
    <w:rsid w:val="7FB36445"/>
    <w:rsid w:val="7FBE2C94"/>
    <w:rsid w:val="7FC40652"/>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7"/>
    <w:qFormat/>
    <w:uiPriority w:val="0"/>
    <w:pPr>
      <w:adjustRightInd/>
      <w:spacing w:line="240" w:lineRule="auto"/>
      <w:textAlignment w:val="auto"/>
    </w:pPr>
    <w:rPr>
      <w:b/>
      <w:bCs/>
      <w:kern w:val="2"/>
      <w:sz w:val="21"/>
      <w:szCs w:val="24"/>
    </w:rPr>
  </w:style>
  <w:style w:type="paragraph" w:styleId="41">
    <w:name w:val="Body Text First Indent"/>
    <w:basedOn w:val="17"/>
    <w:link w:val="102"/>
    <w:qFormat/>
    <w:uiPriority w:val="0"/>
    <w:pPr>
      <w:tabs>
        <w:tab w:val="clear" w:pos="1500"/>
      </w:tabs>
      <w:spacing w:after="120" w:line="240" w:lineRule="auto"/>
      <w:ind w:firstLine="420" w:firstLineChars="100"/>
    </w:pPr>
    <w:rPr>
      <w:sz w:val="21"/>
    </w:rPr>
  </w:style>
  <w:style w:type="paragraph" w:styleId="42">
    <w:name w:val="Body Text First Indent 2"/>
    <w:basedOn w:val="19"/>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18"/>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7007</Words>
  <Characters>7353</Characters>
  <Lines>202</Lines>
  <Paragraphs>56</Paragraphs>
  <TotalTime>1</TotalTime>
  <ScaleCrop>false</ScaleCrop>
  <LinksUpToDate>false</LinksUpToDate>
  <CharactersWithSpaces>7574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廖贷琳</cp:lastModifiedBy>
  <cp:lastPrinted>2025-01-02T03:52:00Z</cp:lastPrinted>
  <dcterms:modified xsi:type="dcterms:W3CDTF">2026-03-13T06:37:59Z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511B3E64E32C442EBB54800420323314_13</vt:lpwstr>
  </property>
  <property fmtid="{D5CDD505-2E9C-101B-9397-08002B2CF9AE}" pid="4" name="KSOTemplateDocerSaveRecord">
    <vt:lpwstr>eyJoZGlkIjoiMmU0N2ZkMGU3YWRjN2ZiNTMyZmVjYjY4MmI1YmFkYjUiLCJ1c2VySWQiOiIxNzYxODEzMTE5In0=</vt:lpwstr>
  </property>
</Properties>
</file>